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El Comportamiento de la Inflación en el Perú: Un Análisis del Período 1980-2017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4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1" w:name="orchid"/>
      <w:r>
        <w:t xml:space="preserve">Orcid ID Logo: A green circle with white letters ID</w:t>
      </w:r>
      <w:bookmarkEnd w:id="21"/>
      <w:r>
        <w:t xml:space="preserve"> </w:t>
      </w:r>
      <w:hyperlink r:id="rId22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conceptualización, metodología, análisis formal, investigación, recursos, curación de datos, redacción, visualización, supervisión, y administración del proyecto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Portal Independencia N° 57, Ayacucho, AYA 5001, Perú, Email:</w:t>
      </w:r>
      <w:r>
        <w:t xml:space="preserve"> </w:t>
      </w:r>
      <w:hyperlink r:id="rId23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4"/>
    <w:bookmarkStart w:id="25" w:name="abstract"/>
    <w:p>
      <w:pPr>
        <w:pStyle w:val="Heading1"/>
      </w:pPr>
      <w:r>
        <w:t xml:space="preserve">Resumen</w:t>
      </w:r>
    </w:p>
    <w:p>
      <w:pPr>
        <w:pStyle w:val="FirstParagraph"/>
      </w:pPr>
      <w:r>
        <w:rPr>
          <w:i/>
          <w:iCs/>
        </w:rPr>
        <w:t xml:space="preserve">Palabras clave</w:t>
      </w:r>
      <w:r>
        <w:t xml:space="preserve">: Inflación, Hiperinflación, Política Monetaria, Estabilidad de Precios</w:t>
      </w:r>
    </w:p>
    <w:p>
      <w:r>
        <w:br w:type="page"/>
      </w:r>
    </w:p>
    <w:bookmarkEnd w:id="25"/>
    <w:bookmarkStart w:id="26" w:name="firstheader"/>
    <w:p>
      <w:pPr>
        <w:pStyle w:val="Heading1"/>
      </w:pPr>
      <w:r>
        <w:t xml:space="preserve">El Comportamiento de la Inflación en el Perú: Un Análisis del Período 1980-2017</w:t>
      </w:r>
    </w:p>
    <w:bookmarkEnd w:id="26"/>
    <w:bookmarkStart w:id="27" w:name="resumen-ejecutivo"/>
    <w:p>
      <w:pPr>
        <w:pStyle w:val="Heading1"/>
      </w:pPr>
      <w:r>
        <w:t xml:space="preserve">1. Resumen Ejecutivo</w:t>
      </w:r>
    </w:p>
    <w:p>
      <w:pPr>
        <w:pStyle w:val="FirstParagraph"/>
      </w:pPr>
      <w:r>
        <w:t xml:space="preserve">El presente estudio analiza de manera exhaustiva el comportamiento de la</w:t>
      </w:r>
      <w:r>
        <w:t xml:space="preserve"> </w:t>
      </w:r>
      <w:r>
        <w:t xml:space="preserve">inflación en el Perú durante el período comprendido entre 1980 y 2017,</w:t>
      </w:r>
      <w:r>
        <w:t xml:space="preserve"> </w:t>
      </w:r>
      <w:r>
        <w:t xml:space="preserve">un lapso que abarca desde la profunda crisis macroeconómica de la década</w:t>
      </w:r>
      <w:r>
        <w:t xml:space="preserve"> </w:t>
      </w:r>
      <w:r>
        <w:t xml:space="preserve">de los ochenta hasta la consolidación de un régimen de estabilidad de</w:t>
      </w:r>
      <w:r>
        <w:t xml:space="preserve"> </w:t>
      </w:r>
      <w:r>
        <w:t xml:space="preserve">precios en el siglo XXI. La investigación revela una trayectoria</w:t>
      </w:r>
      <w:r>
        <w:t xml:space="preserve"> </w:t>
      </w:r>
      <w:r>
        <w:t xml:space="preserve">inflacionaria extraordinaria, caracterizada por un arco que va desde la</w:t>
      </w:r>
      <w:r>
        <w:t xml:space="preserve"> </w:t>
      </w:r>
      <w:r>
        <w:t xml:space="preserve">hiperinflación más devastadora de la historia del país hasta tasas de</w:t>
      </w:r>
      <w:r>
        <w:t xml:space="preserve"> </w:t>
      </w:r>
      <w:r>
        <w:t xml:space="preserve">inflación de un dígito, comparables con las de economías desarrolladas.</w:t>
      </w:r>
      <w:r>
        <w:t xml:space="preserve"> </w:t>
      </w:r>
      <w:r>
        <w:t xml:space="preserve">Este recorrido histórico permite identificar claramente tres grandes</w:t>
      </w:r>
      <w:r>
        <w:t xml:space="preserve"> </w:t>
      </w:r>
      <w:r>
        <w:t xml:space="preserve">etapas: un primer período de crisis (1980-1990), marcado por la</w:t>
      </w:r>
      <w:r>
        <w:t xml:space="preserve"> </w:t>
      </w:r>
      <w:r>
        <w:t xml:space="preserve">hiperinflación y el colapso económico; un segundo período de transición</w:t>
      </w:r>
      <w:r>
        <w:t xml:space="preserve"> </w:t>
      </w:r>
      <w:r>
        <w:t xml:space="preserve">y estabilización (1990-2002), donde se implementaron reformas</w:t>
      </w:r>
      <w:r>
        <w:t xml:space="preserve"> </w:t>
      </w:r>
      <w:r>
        <w:t xml:space="preserve">estructurales que sentaron las bases para la estabilidad macroeconómica;</w:t>
      </w:r>
      <w:r>
        <w:t xml:space="preserve"> </w:t>
      </w:r>
      <w:r>
        <w:t xml:space="preserve">y un tercer período de consolidación (2002-2017), en el cual el Perú</w:t>
      </w:r>
      <w:r>
        <w:t xml:space="preserve"> </w:t>
      </w:r>
      <w:r>
        <w:t xml:space="preserve">adoptó un esquema de Metas Explícitas de Inflación, logrando mantener la</w:t>
      </w:r>
      <w:r>
        <w:t xml:space="preserve"> </w:t>
      </w:r>
      <w:r>
        <w:t xml:space="preserve">inflación dentro de rangos meta y estableciendo un ancla de credibilidad</w:t>
      </w:r>
      <w:r>
        <w:t xml:space="preserve"> </w:t>
      </w:r>
      <w:r>
        <w:t xml:space="preserve">para las expectativas económicas. El análisis demuestra que la inflación</w:t>
      </w:r>
      <w:r>
        <w:t xml:space="preserve"> </w:t>
      </w:r>
      <w:r>
        <w:t xml:space="preserve">peruana no ha sido un fenómeno monolítico, sino que ha estado</w:t>
      </w:r>
      <w:r>
        <w:t xml:space="preserve"> </w:t>
      </w:r>
      <w:r>
        <w:t xml:space="preserve">profundamente influenciada por factores tanto internos —como las</w:t>
      </w:r>
      <w:r>
        <w:t xml:space="preserve"> </w:t>
      </w:r>
      <w:r>
        <w:t xml:space="preserve">políticas fiscales y monetarias, los desequilibrios macroeconómicos y</w:t>
      </w:r>
      <w:r>
        <w:t xml:space="preserve"> </w:t>
      </w:r>
      <w:r>
        <w:t xml:space="preserve">los choques de oferta internos— como externos —como la volatilidad de</w:t>
      </w:r>
      <w:r>
        <w:t xml:space="preserve"> </w:t>
      </w:r>
      <w:r>
        <w:t xml:space="preserve">los precios internacionales de commodities, los fenómenos climáticos</w:t>
      </w:r>
      <w:r>
        <w:t xml:space="preserve"> </w:t>
      </w:r>
      <w:r>
        <w:t xml:space="preserve">extremos y las condiciones de la economía global.</w:t>
      </w:r>
    </w:p>
    <w:p>
      <w:pPr>
        <w:pStyle w:val="BodyText"/>
      </w:pPr>
      <w:r>
        <w:t xml:space="preserve">El núcleo central del análisis se centra en el período crítico de la</w:t>
      </w:r>
      <w:r>
        <w:t xml:space="preserve"> </w:t>
      </w:r>
      <w:r>
        <w:t xml:space="preserve">década de 1980, específicamente durante el primer gobierno de Alan</w:t>
      </w:r>
      <w:r>
        <w:t xml:space="preserve"> </w:t>
      </w:r>
      <w:r>
        <w:t xml:space="preserve">García Pérez (1985-1990), cuando el Perú experimentó su único episodio</w:t>
      </w:r>
      <w:r>
        <w:t xml:space="preserve"> </w:t>
      </w:r>
      <w:r>
        <w:t xml:space="preserve">de hiperinflación. La investigación detalla cómo un conjunto de</w:t>
      </w:r>
      <w:r>
        <w:t xml:space="preserve"> </w:t>
      </w:r>
      <w:r>
        <w:t xml:space="preserve">políticas económicas heterodoxas, basadas en el control de precios, el</w:t>
      </w:r>
      <w:r>
        <w:t xml:space="preserve"> </w:t>
      </w:r>
      <w:r>
        <w:t xml:space="preserve">congelamiento del tipo de cambio y una política fiscal y monetaria</w:t>
      </w:r>
      <w:r>
        <w:t xml:space="preserve"> </w:t>
      </w:r>
      <w:r>
        <w:t xml:space="preserve">expansiva, desembocaron en un desastre económico de proporciones</w:t>
      </w:r>
      <w:r>
        <w:t xml:space="preserve"> </w:t>
      </w:r>
      <w:r>
        <w:t xml:space="preserve">históricas. En 1989, la tasa de inflación alcanzó su punto máximo,</w:t>
      </w:r>
      <w:r>
        <w:t xml:space="preserve"> </w:t>
      </w:r>
      <w:r>
        <w:t xml:space="preserve">superando el</w:t>
      </w:r>
      <w:r>
        <w:t xml:space="preserve"> </w:t>
      </w:r>
      <w:r>
        <w:rPr>
          <w:b/>
          <w:bCs/>
        </w:rPr>
        <w:t xml:space="preserve">2,775% anual</w:t>
      </w:r>
      <w:r>
        <w:t xml:space="preserve">, lo que provocó la destrucción de dos</w:t>
      </w:r>
      <w:r>
        <w:t xml:space="preserve"> </w:t>
      </w:r>
      <w:r>
        <w:t xml:space="preserve">monedas nacionales (el sol y el inti) y un colapso del producto interno</w:t>
      </w:r>
      <w:r>
        <w:t xml:space="preserve"> </w:t>
      </w:r>
      <w:r>
        <w:t xml:space="preserve">bruto (PIB) de más del 20% entre 1988 y 1990. La hiperinflación</w:t>
      </w:r>
      <w:r>
        <w:t xml:space="preserve"> </w:t>
      </w:r>
      <w:r>
        <w:t xml:space="preserve">empobreció severamente a la población, especialmente a las clases</w:t>
      </w:r>
      <w:r>
        <w:t xml:space="preserve"> </w:t>
      </w:r>
      <w:r>
        <w:t xml:space="preserve">trabajadoras, y llevó al país a un aislamiento total de los mercados</w:t>
      </w:r>
      <w:r>
        <w:t xml:space="preserve"> </w:t>
      </w:r>
      <w:r>
        <w:t xml:space="preserve">financieros internacionales. El estudio documenta cómo este período de</w:t>
      </w:r>
      <w:r>
        <w:t xml:space="preserve"> </w:t>
      </w:r>
      <w:r>
        <w:t xml:space="preserve">“hiper-estanflación”</w:t>
      </w:r>
      <w:r>
        <w:t xml:space="preserve"> </w:t>
      </w:r>
      <w:r>
        <w:t xml:space="preserve">—una combinación letal de hiperinflación y recesión</w:t>
      </w:r>
      <w:r>
        <w:t xml:space="preserve"> </w:t>
      </w:r>
      <w:r>
        <w:t xml:space="preserve">económica— sirvió como catalizador para un cambio radical en el modelo</w:t>
      </w:r>
      <w:r>
        <w:t xml:space="preserve"> </w:t>
      </w:r>
      <w:r>
        <w:t xml:space="preserve">económico. La estabilización final llegó con el gobierno de Alberto</w:t>
      </w:r>
      <w:r>
        <w:t xml:space="preserve"> </w:t>
      </w:r>
      <w:r>
        <w:t xml:space="preserve">Fujimori, quien implementó en 1990 el conocido</w:t>
      </w:r>
      <w:r>
        <w:t xml:space="preserve"> </w:t>
      </w:r>
      <w:r>
        <w:t xml:space="preserve">“Fujishock”</w:t>
      </w:r>
      <w:r>
        <w:t xml:space="preserve">, un programa</w:t>
      </w:r>
      <w:r>
        <w:t xml:space="preserve"> </w:t>
      </w:r>
      <w:r>
        <w:t xml:space="preserve">de ajuste drástico que incluyó la liberalización del tipo de cambio, el</w:t>
      </w:r>
      <w:r>
        <w:t xml:space="preserve"> </w:t>
      </w:r>
      <w:r>
        <w:t xml:space="preserve">saneamiento de las finanzas públicas y una estricta disciplina</w:t>
      </w:r>
      <w:r>
        <w:t xml:space="preserve"> </w:t>
      </w:r>
      <w:r>
        <w:t xml:space="preserve">monetaria, sentando las bases para la erradicación de la hiperinflación</w:t>
      </w:r>
      <w:r>
        <w:t xml:space="preserve"> </w:t>
      </w:r>
      <w:r>
        <w:t xml:space="preserve">y el inicio de un nuevo ciclo económico.</w:t>
      </w:r>
    </w:p>
    <w:p>
      <w:pPr>
        <w:pStyle w:val="BodyText"/>
      </w:pPr>
      <w:r>
        <w:t xml:space="preserve">En contraste con el pasado volátil, el estudio analiza los factores que</w:t>
      </w:r>
      <w:r>
        <w:t xml:space="preserve"> </w:t>
      </w:r>
      <w:r>
        <w:t xml:space="preserve">han permitido al Perú mantener una inflación controlada en el siglo XXI,</w:t>
      </w:r>
      <w:r>
        <w:t xml:space="preserve"> </w:t>
      </w:r>
      <w:r>
        <w:t xml:space="preserve">particularmente en el período 2015-2017. Durante estos años, la</w:t>
      </w:r>
      <w:r>
        <w:t xml:space="preserve"> </w:t>
      </w:r>
      <w:r>
        <w:t xml:space="preserve">inflación anual se situó en niveles históricamente bajos, alcanzando el</w:t>
      </w:r>
      <w:r>
        <w:t xml:space="preserve"> </w:t>
      </w:r>
      <w:r>
        <w:rPr>
          <w:b/>
          <w:bCs/>
        </w:rPr>
        <w:t xml:space="preserve">1.36% en 2017</w:t>
      </w:r>
      <w:r>
        <w:t xml:space="preserve">, la tasa más baja en ocho años . La investigación</w:t>
      </w:r>
      <w:r>
        <w:t xml:space="preserve"> </w:t>
      </w:r>
      <w:r>
        <w:t xml:space="preserve">identifica varios elementos clave que explican este desempeño. En primer</w:t>
      </w:r>
      <w:r>
        <w:t xml:space="preserve"> </w:t>
      </w:r>
      <w:r>
        <w:t xml:space="preserve">lugar, la implementación del esquema de Metas Explícitas de Inflación</w:t>
      </w:r>
      <w:r>
        <w:t xml:space="preserve"> </w:t>
      </w:r>
      <w:r>
        <w:t xml:space="preserve">por parte del Banco Central de Reserva del Perú (BCRP) ha sido</w:t>
      </w:r>
      <w:r>
        <w:t xml:space="preserve"> </w:t>
      </w:r>
      <w:r>
        <w:t xml:space="preserve">fundamental para anclar las expectativas inflacionarias y dotar de</w:t>
      </w:r>
      <w:r>
        <w:t xml:space="preserve"> </w:t>
      </w:r>
      <w:r>
        <w:t xml:space="preserve">credibilidad a la política monetaria. En segundo lugar, factores de</w:t>
      </w:r>
      <w:r>
        <w:t xml:space="preserve"> </w:t>
      </w:r>
      <w:r>
        <w:t xml:space="preserve">oferta han jugado un papel crucial, como la reversión de los choques de</w:t>
      </w:r>
      <w:r>
        <w:t xml:space="preserve"> </w:t>
      </w:r>
      <w:r>
        <w:t xml:space="preserve">oferta de años previos (como el Fenómeno del Niño Costero de 2017), que</w:t>
      </w:r>
      <w:r>
        <w:t xml:space="preserve"> </w:t>
      </w:r>
      <w:r>
        <w:t xml:space="preserve">provocaron una caída en los precios de alimentos y energía . Además, se</w:t>
      </w:r>
      <w:r>
        <w:t xml:space="preserve"> </w:t>
      </w:r>
      <w:r>
        <w:t xml:space="preserve">destaca el papel de la apreciación de la moneda nacional, el sol, que</w:t>
      </w:r>
      <w:r>
        <w:t xml:space="preserve"> </w:t>
      </w:r>
      <w:r>
        <w:t xml:space="preserve">moderó los efectos de los precios internacionales de importaciones.</w:t>
      </w:r>
      <w:r>
        <w:t xml:space="preserve"> </w:t>
      </w:r>
      <w:r>
        <w:t xml:space="preserve">Finalmente, el estudio señala que un crecimiento económico moderado,</w:t>
      </w:r>
      <w:r>
        <w:t xml:space="preserve"> </w:t>
      </w:r>
      <w:r>
        <w:t xml:space="preserve">junto con una demanda interna contenida y la ausencia de presiones</w:t>
      </w:r>
      <w:r>
        <w:t xml:space="preserve"> </w:t>
      </w:r>
      <w:r>
        <w:t xml:space="preserve">salariales significativas, han contribuido a mantener las presiones</w:t>
      </w:r>
      <w:r>
        <w:t xml:space="preserve"> </w:t>
      </w:r>
      <w:r>
        <w:t xml:space="preserve">inflacionarias bajo control, permitiendo que la inflación se mantenga</w:t>
      </w:r>
      <w:r>
        <w:t xml:space="preserve"> </w:t>
      </w:r>
      <w:r>
        <w:t xml:space="preserve">cómodamente dentro del rango meta del BCRP de</w:t>
      </w:r>
      <w:r>
        <w:t xml:space="preserve"> </w:t>
      </w:r>
      <w:r>
        <w:rPr>
          <w:b/>
          <w:bCs/>
        </w:rPr>
        <w:t xml:space="preserve">1% a 3%</w:t>
      </w:r>
      <w:r>
        <w:t xml:space="preserve"> </w:t>
      </w:r>
      <w:r>
        <w:t xml:space="preserve">.</w:t>
      </w:r>
    </w:p>
    <w:bookmarkEnd w:id="27"/>
    <w:bookmarkStart w:id="28" w:name="introducción"/>
    <w:p>
      <w:pPr>
        <w:pStyle w:val="Heading1"/>
      </w:pPr>
      <w:r>
        <w:t xml:space="preserve">2. Introducción</w:t>
      </w:r>
    </w:p>
    <w:p>
      <w:pPr>
        <w:pStyle w:val="FirstParagraph"/>
      </w:pPr>
      <w:r>
        <w:t xml:space="preserve">La inflación constituye uno de los fenómenos económicos más relevantes y</w:t>
      </w:r>
      <w:r>
        <w:t xml:space="preserve"> </w:t>
      </w:r>
      <w:r>
        <w:t xml:space="preserve">complejos de la macroeconomía moderna. Se define como la subida</w:t>
      </w:r>
      <w:r>
        <w:t xml:space="preserve"> </w:t>
      </w:r>
      <w:r>
        <w:t xml:space="preserve">generalizada y continua del nivel de precios de los bienes y servicios</w:t>
      </w:r>
      <w:r>
        <w:t xml:space="preserve"> </w:t>
      </w:r>
      <w:r>
        <w:t xml:space="preserve">en una economía durante un período determinado . Este proceso implica</w:t>
      </w:r>
      <w:r>
        <w:t xml:space="preserve"> </w:t>
      </w:r>
      <w:r>
        <w:t xml:space="preserve">una pérdida del poder adquisitivo de la moneda, ya que cada unidad de</w:t>
      </w:r>
      <w:r>
        <w:t xml:space="preserve"> </w:t>
      </w:r>
      <w:r>
        <w:t xml:space="preserve">dinero puede comprar una cantidad menor de productos. La medición de la</w:t>
      </w:r>
      <w:r>
        <w:t xml:space="preserve"> </w:t>
      </w:r>
      <w:r>
        <w:t xml:space="preserve">inflación se realiza principalmente a través del Índice de Precios al</w:t>
      </w:r>
      <w:r>
        <w:t xml:space="preserve"> </w:t>
      </w:r>
      <w:r>
        <w:t xml:space="preserve">Consumidor (IPC), el cual mide la variación porcentual en el costo de</w:t>
      </w:r>
      <w:r>
        <w:t xml:space="preserve"> </w:t>
      </w:r>
      <w:r>
        <w:t xml:space="preserve">una canasta de consumo representativa en relación con un período base .</w:t>
      </w:r>
      <w:r>
        <w:t xml:space="preserve"> </w:t>
      </w:r>
      <w:r>
        <w:t xml:space="preserve">Es importante distinguir la inflación de otros fenómenos como la</w:t>
      </w:r>
      <w:r>
        <w:t xml:space="preserve"> </w:t>
      </w:r>
      <w:r>
        <w:t xml:space="preserve">deflación, que es la disminución generalizada de precios y que, aunque</w:t>
      </w:r>
      <w:r>
        <w:t xml:space="preserve"> </w:t>
      </w:r>
      <w:r>
        <w:t xml:space="preserve">pueda parecer beneficiosa para los consumidores en un primer análisis,</w:t>
      </w:r>
      <w:r>
        <w:t xml:space="preserve"> </w:t>
      </w:r>
      <w:r>
        <w:t xml:space="preserve">suele estar asociada a períodos de crisis económica y recesión, con</w:t>
      </w:r>
      <w:r>
        <w:t xml:space="preserve"> </w:t>
      </w:r>
      <w:r>
        <w:t xml:space="preserve">graves consecuencias socioeconómicas .</w:t>
      </w:r>
    </w:p>
    <w:p>
      <w:pPr>
        <w:pStyle w:val="BodyText"/>
      </w:pPr>
      <w:r>
        <w:t xml:space="preserve">Según el economista Jiménez (2006), la inflación es</w:t>
      </w:r>
      <w:r>
        <w:t xml:space="preserve"> </w:t>
      </w:r>
      <w:r>
        <w:t xml:space="preserve">“la elevación del</w:t>
      </w:r>
      <w:r>
        <w:t xml:space="preserve"> </w:t>
      </w:r>
      <w:r>
        <w:t xml:space="preserve">nivel agregado de precios de una economía”</w:t>
      </w:r>
      <w:r>
        <w:t xml:space="preserve"> </w:t>
      </w:r>
      <w:r>
        <w:t xml:space="preserve">y se mide precisamente a</w:t>
      </w:r>
      <w:r>
        <w:t xml:space="preserve"> </w:t>
      </w:r>
      <w:r>
        <w:t xml:space="preserve">través de la variación del IPC. Esta definición enfatiza dos</w:t>
      </w:r>
      <w:r>
        <w:t xml:space="preserve"> </w:t>
      </w:r>
      <w:r>
        <w:t xml:space="preserve">características fundamentales del fenómeno: su carácter generalizado, ya</w:t>
      </w:r>
      <w:r>
        <w:t xml:space="preserve"> </w:t>
      </w:r>
      <w:r>
        <w:t xml:space="preserve">que no se refiere al aumento de un precio individual sino al conjunto de</w:t>
      </w:r>
      <w:r>
        <w:t xml:space="preserve"> </w:t>
      </w:r>
      <w:r>
        <w:t xml:space="preserve">precios de la economía, y su persistencia en el tiempo, lo que la</w:t>
      </w:r>
      <w:r>
        <w:t xml:space="preserve"> </w:t>
      </w:r>
      <w:r>
        <w:t xml:space="preserve">distingue de fluctuaciones puntuales de precios. El IPC, como</w:t>
      </w:r>
      <w:r>
        <w:t xml:space="preserve"> </w:t>
      </w:r>
      <w:r>
        <w:t xml:space="preserve">instrumento de medición, se construye a partir de una canasta de consumo</w:t>
      </w:r>
      <w:r>
        <w:t xml:space="preserve"> </w:t>
      </w:r>
      <w:r>
        <w:t xml:space="preserve">representativa que refleja los patrones de gasto de los hogares en un</w:t>
      </w:r>
      <w:r>
        <w:t xml:space="preserve"> </w:t>
      </w:r>
      <w:r>
        <w:t xml:space="preserve">período base determinado. La inflación implica necesariamente una</w:t>
      </w:r>
      <w:r>
        <w:t xml:space="preserve"> </w:t>
      </w:r>
      <w:r>
        <w:t xml:space="preserve">pérdida del poder adquisitivo de la moneda, fenómeno que afecta de</w:t>
      </w:r>
      <w:r>
        <w:t xml:space="preserve"> </w:t>
      </w:r>
      <w:r>
        <w:t xml:space="preserve">manera diferenciada a los distintos agentes económicos, beneficiando a</w:t>
      </w:r>
      <w:r>
        <w:t xml:space="preserve"> </w:t>
      </w:r>
      <w:r>
        <w:t xml:space="preserve">los deudores (que pagan deudas con dinero de menor valor real) y</w:t>
      </w:r>
      <w:r>
        <w:t xml:space="preserve"> </w:t>
      </w:r>
      <w:r>
        <w:t xml:space="preserve">perjudicando a los acreedores y a quienes mantienen sus ahorros en</w:t>
      </w:r>
      <w:r>
        <w:t xml:space="preserve"> </w:t>
      </w:r>
      <w:r>
        <w:t xml:space="preserve">moneda nacional.</w:t>
      </w:r>
    </w:p>
    <w:p>
      <w:pPr>
        <w:pStyle w:val="BodyText"/>
      </w:pPr>
      <w:r>
        <w:t xml:space="preserve">El estudio del comportamiento de la inflación en el Perú adquiere una</w:t>
      </w:r>
      <w:r>
        <w:t xml:space="preserve"> </w:t>
      </w:r>
      <w:r>
        <w:t xml:space="preserve">relevancia particular debido a la extraordinaria volatilidad que ha</w:t>
      </w:r>
      <w:r>
        <w:t xml:space="preserve"> </w:t>
      </w:r>
      <w:r>
        <w:t xml:space="preserve">caracterizado a su economía en las últimas cuatro décadas. El país ha</w:t>
      </w:r>
      <w:r>
        <w:t xml:space="preserve"> </w:t>
      </w:r>
      <w:r>
        <w:t xml:space="preserve">experimentado, en un lapso relativamente corto, los extremos del</w:t>
      </w:r>
      <w:r>
        <w:t xml:space="preserve"> </w:t>
      </w:r>
      <w:r>
        <w:t xml:space="preserve">fenómeno inflacionario: desde la hiperinflación más severa de su</w:t>
      </w:r>
      <w:r>
        <w:t xml:space="preserve"> </w:t>
      </w:r>
      <w:r>
        <w:t xml:space="preserve">historia, con tasas anuales que superaron el</w:t>
      </w:r>
      <w:r>
        <w:t xml:space="preserve"> </w:t>
      </w:r>
      <w:r>
        <w:rPr>
          <w:b/>
          <w:bCs/>
        </w:rPr>
        <w:t xml:space="preserve">7,000% en 1990</w:t>
      </w:r>
      <w:r>
        <w:t xml:space="preserve">, hasta</w:t>
      </w:r>
      <w:r>
        <w:t xml:space="preserve"> </w:t>
      </w:r>
      <w:r>
        <w:t xml:space="preserve">períodos de deflación, como el registrado en 2001, y una prolongada</w:t>
      </w:r>
      <w:r>
        <w:t xml:space="preserve"> </w:t>
      </w:r>
      <w:r>
        <w:t xml:space="preserve">etapa de estabilidad de precios con tasas de inflación de un solo dígito</w:t>
      </w:r>
      <w:r>
        <w:t xml:space="preserve"> </w:t>
      </w:r>
      <w:r>
        <w:t xml:space="preserve">y, en algunos años, incluso inferiores al 2% . Esta trayectoria</w:t>
      </w:r>
      <w:r>
        <w:t xml:space="preserve"> </w:t>
      </w:r>
      <w:r>
        <w:t xml:space="preserve">convierte al Perú en un caso de estudio invaluable para comprender las</w:t>
      </w:r>
      <w:r>
        <w:t xml:space="preserve"> </w:t>
      </w:r>
      <w:r>
        <w:t xml:space="preserve">causas, consecuencias y mecanismos de control de la inflación.</w:t>
      </w:r>
    </w:p>
    <w:p>
      <w:pPr>
        <w:pStyle w:val="BodyText"/>
      </w:pPr>
      <w:r>
        <w:t xml:space="preserve">El análisis de estos períodos permite identificar los errores de</w:t>
      </w:r>
      <w:r>
        <w:t xml:space="preserve"> </w:t>
      </w:r>
      <w:r>
        <w:t xml:space="preserve">política económica que desencadenaron la crisis, como la falta de</w:t>
      </w:r>
      <w:r>
        <w:t xml:space="preserve"> </w:t>
      </w:r>
      <w:r>
        <w:t xml:space="preserve">disciplina fiscal, el financiamiento monetario del déficit público y la</w:t>
      </w:r>
      <w:r>
        <w:t xml:space="preserve"> </w:t>
      </w:r>
      <w:r>
        <w:t xml:space="preserve">implementación de controles de precios ineficaces, así como las reformas</w:t>
      </w:r>
      <w:r>
        <w:t xml:space="preserve"> </w:t>
      </w:r>
      <w:r>
        <w:t xml:space="preserve">estructurales que permitieron la estabilización y el crecimiento</w:t>
      </w:r>
      <w:r>
        <w:t xml:space="preserve"> </w:t>
      </w:r>
      <w:r>
        <w:t xml:space="preserve">sostenido. Comprender este proceso no solo tiene un valor histórico,</w:t>
      </w:r>
      <w:r>
        <w:t xml:space="preserve"> </w:t>
      </w:r>
      <w:r>
        <w:t xml:space="preserve">sino que proporciona lecciones fundamentales para la toma de decisiones</w:t>
      </w:r>
      <w:r>
        <w:t xml:space="preserve"> </w:t>
      </w:r>
      <w:r>
        <w:t xml:space="preserve">de política pública en el presente y el futuro. El estudio de la</w:t>
      </w:r>
      <w:r>
        <w:t xml:space="preserve"> </w:t>
      </w:r>
      <w:r>
        <w:t xml:space="preserve">inflación peruana permite evaluar la efectividad de diferentes marcos de</w:t>
      </w:r>
      <w:r>
        <w:t xml:space="preserve"> </w:t>
      </w:r>
      <w:r>
        <w:t xml:space="preserve">política monetaria, desde el financiamiento fiscal hasta el esquema de</w:t>
      </w:r>
      <w:r>
        <w:t xml:space="preserve"> </w:t>
      </w:r>
      <w:r>
        <w:t xml:space="preserve">metas de inflación, y entender cómo factores externos e internos</w:t>
      </w:r>
      <w:r>
        <w:t xml:space="preserve"> </w:t>
      </w:r>
      <w:r>
        <w:t xml:space="preserve">interactúan para determinar la evolución de los precios en una economía</w:t>
      </w:r>
      <w:r>
        <w:t xml:space="preserve"> </w:t>
      </w:r>
      <w:r>
        <w:t xml:space="preserve">emergente y dependiente de commodities.</w:t>
      </w:r>
    </w:p>
    <w:bookmarkEnd w:id="28"/>
    <w:bookmarkStart w:id="31" w:name="objetivos-de-la-investigación"/>
    <w:p>
      <w:pPr>
        <w:pStyle w:val="Heading1"/>
      </w:pPr>
      <w:r>
        <w:t xml:space="preserve">3. Objetivos de la Investigación</w:t>
      </w:r>
    </w:p>
    <w:bookmarkStart w:id="29" w:name="objetivo-general"/>
    <w:p>
      <w:pPr>
        <w:pStyle w:val="Heading2"/>
      </w:pPr>
      <w:r>
        <w:t xml:space="preserve">3.1 Objetivo General</w:t>
      </w:r>
    </w:p>
    <w:p>
      <w:pPr>
        <w:pStyle w:val="FirstParagraph"/>
      </w:pPr>
      <w:r>
        <w:t xml:space="preserve">El objetivo general de la presente investigación es realizar un análisis</w:t>
      </w:r>
      <w:r>
        <w:t xml:space="preserve"> </w:t>
      </w:r>
      <w:r>
        <w:t xml:space="preserve">exhaustivo y sistemático del comportamiento de la inflación en el Perú</w:t>
      </w:r>
      <w:r>
        <w:t xml:space="preserve"> </w:t>
      </w:r>
      <w:r>
        <w:t xml:space="preserve">durante el período 1980-2017. Este análisis busca comprender en</w:t>
      </w:r>
      <w:r>
        <w:t xml:space="preserve"> </w:t>
      </w:r>
      <w:r>
        <w:t xml:space="preserve">profundidad la evolución histórica del fenómeno inflacionario,</w:t>
      </w:r>
      <w:r>
        <w:t xml:space="preserve"> </w:t>
      </w:r>
      <w:r>
        <w:t xml:space="preserve">identificando los principales períodos de crisis y estabilización, y</w:t>
      </w:r>
      <w:r>
        <w:t xml:space="preserve"> </w:t>
      </w:r>
      <w:r>
        <w:t xml:space="preserve">explicando los factores económicos, políticos y sociales que</w:t>
      </w:r>
      <w:r>
        <w:t xml:space="preserve"> </w:t>
      </w:r>
      <w:r>
        <w:t xml:space="preserve">determinaron dicha evolución.</w:t>
      </w:r>
    </w:p>
    <w:bookmarkEnd w:id="29"/>
    <w:bookmarkStart w:id="30" w:name="objetivos-específicos"/>
    <w:p>
      <w:pPr>
        <w:pStyle w:val="Heading2"/>
      </w:pPr>
      <w:r>
        <w:t xml:space="preserve">3.2 Objetivos Específicos</w:t>
      </w:r>
    </w:p>
    <w:p>
      <w:pPr>
        <w:pStyle w:val="FirstParagraph"/>
      </w:pPr>
      <w:r>
        <w:t xml:space="preserve">Para alcanzar el objetivo general, se han establecido los siguientes</w:t>
      </w:r>
      <w:r>
        <w:t xml:space="preserve"> </w:t>
      </w:r>
      <w:r>
        <w:t xml:space="preserve">objetivos específicos:</w:t>
      </w:r>
    </w:p>
    <w:p>
      <w:pPr>
        <w:numPr>
          <w:ilvl w:val="0"/>
          <w:numId w:val="1001"/>
        </w:numPr>
      </w:pPr>
      <w:r>
        <w:t xml:space="preserve">Explicar los conceptos teóricos fundamentales relacionados con la</w:t>
      </w:r>
      <w:r>
        <w:t xml:space="preserve"> </w:t>
      </w:r>
      <w:r>
        <w:t xml:space="preserve">inflación, incluyendo sus diferentes tipos (moderada, galopante,</w:t>
      </w:r>
      <w:r>
        <w:t xml:space="preserve"> </w:t>
      </w:r>
      <w:r>
        <w:t xml:space="preserve">hiperinflación y estanflación), sus principales causas (tanto</w:t>
      </w:r>
      <w:r>
        <w:t xml:space="preserve"> </w:t>
      </w:r>
      <w:r>
        <w:t xml:space="preserve">internas como externas) y sus consecuencias económicas y sociales.</w:t>
      </w:r>
      <w:r>
        <w:t xml:space="preserve"> </w:t>
      </w:r>
      <w:r>
        <w:t xml:space="preserve">Este objetivo busca dotar al lector de las herramientas analíticas</w:t>
      </w:r>
      <w:r>
        <w:t xml:space="preserve"> </w:t>
      </w:r>
      <w:r>
        <w:t xml:space="preserve">necesarias para comprender el resto del estudio.</w:t>
      </w:r>
    </w:p>
    <w:p>
      <w:pPr>
        <w:numPr>
          <w:ilvl w:val="0"/>
          <w:numId w:val="1001"/>
        </w:numPr>
      </w:pPr>
      <w:r>
        <w:t xml:space="preserve">Presentar y analizar los datos históricos de la tasa de inflación en</w:t>
      </w:r>
      <w:r>
        <w:t xml:space="preserve"> </w:t>
      </w:r>
      <w:r>
        <w:t xml:space="preserve">el Perú, desagregando la información por años y por gobiernos. Se</w:t>
      </w:r>
      <w:r>
        <w:t xml:space="preserve"> </w:t>
      </w:r>
      <w:r>
        <w:t xml:space="preserve">busca identificar tendencias, ciclos y puntos de inflexión en la</w:t>
      </w:r>
      <w:r>
        <w:t xml:space="preserve"> </w:t>
      </w:r>
      <w:r>
        <w:t xml:space="preserve">serie de datos, utilizando fuentes oficiales como el Instituto</w:t>
      </w:r>
      <w:r>
        <w:t xml:space="preserve"> </w:t>
      </w:r>
      <w:r>
        <w:t xml:space="preserve">Nacional de Estadística e Informática (INEI) y el Banco Central de</w:t>
      </w:r>
      <w:r>
        <w:t xml:space="preserve"> </w:t>
      </w:r>
      <w:r>
        <w:t xml:space="preserve">Reserva del Perú (BCRP).</w:t>
      </w:r>
    </w:p>
    <w:p>
      <w:pPr>
        <w:numPr>
          <w:ilvl w:val="0"/>
          <w:numId w:val="1001"/>
        </w:numPr>
      </w:pPr>
      <w:r>
        <w:t xml:space="preserve">Realizar un análisis detallado del comportamiento de la inflación</w:t>
      </w:r>
      <w:r>
        <w:t xml:space="preserve"> </w:t>
      </w:r>
      <w:r>
        <w:t xml:space="preserve">durante los diferentes gobiernos que se sucedieron entre 1980 y</w:t>
      </w:r>
      <w:r>
        <w:t xml:space="preserve"> </w:t>
      </w:r>
      <w:r>
        <w:t xml:space="preserve">2017, desde Fernando Belaunde Terry hasta el final del período de</w:t>
      </w:r>
      <w:r>
        <w:t xml:space="preserve"> </w:t>
      </w:r>
      <w:r>
        <w:t xml:space="preserve">análisis.</w:t>
      </w:r>
    </w:p>
    <w:p>
      <w:pPr>
        <w:numPr>
          <w:ilvl w:val="0"/>
          <w:numId w:val="1001"/>
        </w:numPr>
      </w:pPr>
      <w:r>
        <w:t xml:space="preserve">Profundizar en el análisis del período crítico de la hiperinflación</w:t>
      </w:r>
      <w:r>
        <w:t xml:space="preserve"> </w:t>
      </w:r>
      <w:r>
        <w:t xml:space="preserve">(1985-1990), identificando las causas estructurales y coyunturales</w:t>
      </w:r>
      <w:r>
        <w:t xml:space="preserve"> </w:t>
      </w:r>
      <w:r>
        <w:t xml:space="preserve">que llevaron a la crisis, con un enfoque particular en el papel de</w:t>
      </w:r>
      <w:r>
        <w:t xml:space="preserve"> </w:t>
      </w:r>
      <w:r>
        <w:t xml:space="preserve">la política fiscal, la deuda externa y las políticas heterodoxas</w:t>
      </w:r>
      <w:r>
        <w:t xml:space="preserve"> </w:t>
      </w:r>
      <w:r>
        <w:t xml:space="preserve">implementadas.</w:t>
      </w:r>
    </w:p>
    <w:p>
      <w:pPr>
        <w:numPr>
          <w:ilvl w:val="0"/>
          <w:numId w:val="1001"/>
        </w:numPr>
      </w:pPr>
      <w:r>
        <w:t xml:space="preserve">Analizar las reformas económicas implementadas a partir de 1990 para</w:t>
      </w:r>
      <w:r>
        <w:t xml:space="preserve"> </w:t>
      </w:r>
      <w:r>
        <w:t xml:space="preserve">controlar la inflación, evaluando su efectividad y los costos</w:t>
      </w:r>
      <w:r>
        <w:t xml:space="preserve"> </w:t>
      </w:r>
      <w:r>
        <w:t xml:space="preserve">sociales y económicos asociados. Se busca entender cómo se logró la</w:t>
      </w:r>
      <w:r>
        <w:t xml:space="preserve"> </w:t>
      </w:r>
      <w:r>
        <w:t xml:space="preserve">transición de una economía hiperinflacionaria a una de baja y</w:t>
      </w:r>
      <w:r>
        <w:t xml:space="preserve"> </w:t>
      </w:r>
      <w:r>
        <w:t xml:space="preserve">estable inflación.</w:t>
      </w:r>
    </w:p>
    <w:bookmarkEnd w:id="30"/>
    <w:bookmarkEnd w:id="31"/>
    <w:bookmarkStart w:id="44" w:name="discusión-teórica"/>
    <w:p>
      <w:pPr>
        <w:pStyle w:val="Heading1"/>
      </w:pPr>
      <w:r>
        <w:t xml:space="preserve">4. Discusión Teórica</w:t>
      </w:r>
    </w:p>
    <w:bookmarkStart w:id="32" w:name="definición-de-inflación"/>
    <w:p>
      <w:pPr>
        <w:pStyle w:val="Heading2"/>
      </w:pPr>
      <w:r>
        <w:t xml:space="preserve">4.1 Definición de Inflación</w:t>
      </w:r>
    </w:p>
    <w:p>
      <w:pPr>
        <w:pStyle w:val="FirstParagraph"/>
      </w:pPr>
      <w:r>
        <w:t xml:space="preserve">La inflación es conceptualizada en la literatura económica como un</w:t>
      </w:r>
      <w:r>
        <w:t xml:space="preserve"> </w:t>
      </w:r>
      <w:r>
        <w:t xml:space="preserve">fenómeno de carácter monetario que se manifiesta mediante el aumento</w:t>
      </w:r>
      <w:r>
        <w:t xml:space="preserve"> </w:t>
      </w:r>
      <w:r>
        <w:t xml:space="preserve">sostenido y generalizado del nivel de precios de los bienes y servicios</w:t>
      </w:r>
      <w:r>
        <w:t xml:space="preserve"> </w:t>
      </w:r>
      <w:r>
        <w:t xml:space="preserve">en una economía. Según la definición proporcionada por Jiménez (2006),</w:t>
      </w:r>
      <w:r>
        <w:t xml:space="preserve"> </w:t>
      </w:r>
      <w:r>
        <w:t xml:space="preserve">“la inflación es la elevación del nivel agregado de precios de una</w:t>
      </w:r>
      <w:r>
        <w:t xml:space="preserve"> </w:t>
      </w:r>
      <w:r>
        <w:t xml:space="preserve">economía. Se mide como la variación porcentual en el índice de precios</w:t>
      </w:r>
      <w:r>
        <w:t xml:space="preserve"> </w:t>
      </w:r>
      <w:r>
        <w:t xml:space="preserve">al consumidor (IPC)”</w:t>
      </w:r>
      <w:r>
        <w:t xml:space="preserve"> </w:t>
      </w:r>
      <w:r>
        <w:t xml:space="preserve">. Esta definición enfatiza dos características</w:t>
      </w:r>
      <w:r>
        <w:t xml:space="preserve"> </w:t>
      </w:r>
      <w:r>
        <w:t xml:space="preserve">fundamentales del fenómeno: su carácter generalizado, ya que no se</w:t>
      </w:r>
      <w:r>
        <w:t xml:space="preserve"> </w:t>
      </w:r>
      <w:r>
        <w:t xml:space="preserve">refiere al aumento de un precio individual sino al conjunto de precios</w:t>
      </w:r>
      <w:r>
        <w:t xml:space="preserve"> </w:t>
      </w:r>
      <w:r>
        <w:t xml:space="preserve">de la economía, y su persistencia en el tiempo, lo que la distingue de</w:t>
      </w:r>
      <w:r>
        <w:t xml:space="preserve"> </w:t>
      </w:r>
      <w:r>
        <w:t xml:space="preserve">fluctuaciones puntuales de precios. El IPC, como instrumento de</w:t>
      </w:r>
      <w:r>
        <w:t xml:space="preserve"> </w:t>
      </w:r>
      <w:r>
        <w:t xml:space="preserve">medición, se construye a partir de una canasta de consumo representativa</w:t>
      </w:r>
      <w:r>
        <w:t xml:space="preserve"> </w:t>
      </w:r>
      <w:r>
        <w:t xml:space="preserve">que refleja los patrones de gasto de los hogares en un período base</w:t>
      </w:r>
      <w:r>
        <w:t xml:space="preserve"> </w:t>
      </w:r>
      <w:r>
        <w:t xml:space="preserve">determinado. La inflación implica necesariamente una pérdida del poder</w:t>
      </w:r>
      <w:r>
        <w:t xml:space="preserve"> </w:t>
      </w:r>
      <w:r>
        <w:t xml:space="preserve">adquisitivo de la moneda, fenómeno que afecta de manera diferenciada a</w:t>
      </w:r>
      <w:r>
        <w:t xml:space="preserve"> </w:t>
      </w:r>
      <w:r>
        <w:t xml:space="preserve">los distintos agentes económicos, beneficiando a los deudores (que pagan</w:t>
      </w:r>
      <w:r>
        <w:t xml:space="preserve"> </w:t>
      </w:r>
      <w:r>
        <w:t xml:space="preserve">deudas con dinero de menor valor real) y perjudicando a los acreedores y</w:t>
      </w:r>
      <w:r>
        <w:t xml:space="preserve"> </w:t>
      </w:r>
      <w:r>
        <w:t xml:space="preserve">a quienes mantienen sus ahorros en moneda nacional.</w:t>
      </w:r>
    </w:p>
    <w:bookmarkEnd w:id="32"/>
    <w:bookmarkStart w:id="37" w:name="tipología-de-la-inflación"/>
    <w:p>
      <w:pPr>
        <w:pStyle w:val="Heading2"/>
      </w:pPr>
      <w:r>
        <w:t xml:space="preserve">4.2 Tipología de la Inflación</w:t>
      </w:r>
    </w:p>
    <w:p>
      <w:pPr>
        <w:pStyle w:val="FirstParagraph"/>
      </w:pPr>
      <w:r>
        <w:t xml:space="preserve">La clasificación de la inflación según su magnitud permite distinguir</w:t>
      </w:r>
      <w:r>
        <w:t xml:space="preserve"> </w:t>
      </w:r>
      <w:r>
        <w:t xml:space="preserve">diferentes grados de severidad del fenómeno, cada uno con</w:t>
      </w:r>
      <w:r>
        <w:t xml:space="preserve"> </w:t>
      </w:r>
      <w:r>
        <w:t xml:space="preserve">características y consecuencias específicas para la economía.</w:t>
      </w:r>
    </w:p>
    <w:bookmarkStart w:id="33" w:name="inflación-moderada"/>
    <w:p>
      <w:pPr>
        <w:pStyle w:val="Heading3"/>
      </w:pPr>
      <w:r>
        <w:t xml:space="preserve">4.2.1 Inflación Moderada</w:t>
      </w:r>
    </w:p>
    <w:p>
      <w:pPr>
        <w:pStyle w:val="FirstParagraph"/>
      </w:pPr>
      <w:r>
        <w:t xml:space="preserve">La inflación moderada se caracteriza por tasas anuales inferiores al</w:t>
      </w:r>
      <w:r>
        <w:t xml:space="preserve"> </w:t>
      </w:r>
      <w:r>
        <w:t xml:space="preserve">10%. En este escenario, los precios suben lentamente y el poder</w:t>
      </w:r>
      <w:r>
        <w:t xml:space="preserve"> </w:t>
      </w:r>
      <w:r>
        <w:t xml:space="preserve">adquisitivo de los trabajadores no se ve significativamente afectado, ya</w:t>
      </w:r>
      <w:r>
        <w:t xml:space="preserve"> </w:t>
      </w:r>
      <w:r>
        <w:t xml:space="preserve">que los aumentos salariales pueden compensar, en gran medida, el</w:t>
      </w:r>
      <w:r>
        <w:t xml:space="preserve"> </w:t>
      </w:r>
      <w:r>
        <w:t xml:space="preserve">incremento en el costo de vida. Este tipo de inflación es considerado</w:t>
      </w:r>
      <w:r>
        <w:t xml:space="preserve"> </w:t>
      </w:r>
      <w:r>
        <w:t xml:space="preserve">normal y hasta deseable en una economía en crecimiento, ya que puede</w:t>
      </w:r>
      <w:r>
        <w:t xml:space="preserve"> </w:t>
      </w:r>
      <w:r>
        <w:t xml:space="preserve">facilitar los ajustes económicos sin generar las distorsiones severas</w:t>
      </w:r>
      <w:r>
        <w:t xml:space="preserve"> </w:t>
      </w:r>
      <w:r>
        <w:t xml:space="preserve">asociadas a niveles más altos de inflación.</w:t>
      </w:r>
    </w:p>
    <w:bookmarkEnd w:id="33"/>
    <w:bookmarkStart w:id="34" w:name="inflación-galopante"/>
    <w:p>
      <w:pPr>
        <w:pStyle w:val="Heading3"/>
      </w:pPr>
      <w:r>
        <w:t xml:space="preserve">4.2.2 Inflación Galopante</w:t>
      </w:r>
    </w:p>
    <w:p>
      <w:pPr>
        <w:pStyle w:val="FirstParagraph"/>
      </w:pPr>
      <w:r>
        <w:t xml:space="preserve">La inflación galopante se presenta cuando la tasa de inflación anual se</w:t>
      </w:r>
      <w:r>
        <w:t xml:space="preserve"> </w:t>
      </w:r>
      <w:r>
        <w:t xml:space="preserve">sitúa entre el 10% y el 1000%. En este contexto, los agentes económicos</w:t>
      </w:r>
      <w:r>
        <w:t xml:space="preserve"> </w:t>
      </w:r>
      <w:r>
        <w:t xml:space="preserve">comienzan a perder confianza en la moneda y tratan de desprenderse del</w:t>
      </w:r>
      <w:r>
        <w:t xml:space="preserve"> </w:t>
      </w:r>
      <w:r>
        <w:t xml:space="preserve">dinero lo más rápidamente posible, ya que su valor se deprecia</w:t>
      </w:r>
      <w:r>
        <w:t xml:space="preserve"> </w:t>
      </w:r>
      <w:r>
        <w:t xml:space="preserve">rápidamente. Se observa una preferencia por mantener activos reales como</w:t>
      </w:r>
      <w:r>
        <w:t xml:space="preserve"> </w:t>
      </w:r>
      <w:r>
        <w:t xml:space="preserve">bienes raíces, oro o divisas extranjeras, en lugar de dinero en</w:t>
      </w:r>
      <w:r>
        <w:t xml:space="preserve"> </w:t>
      </w:r>
      <w:r>
        <w:t xml:space="preserve">efectivo. La inflación galopante genera distorsiones significativas en</w:t>
      </w:r>
      <w:r>
        <w:t xml:space="preserve"> </w:t>
      </w:r>
      <w:r>
        <w:t xml:space="preserve">la economía, afectando la planificación empresarial, desalentando la</w:t>
      </w:r>
      <w:r>
        <w:t xml:space="preserve"> </w:t>
      </w:r>
      <w:r>
        <w:t xml:space="preserve">inversión a largo plazo y creando incertidumbre sobre los precios</w:t>
      </w:r>
      <w:r>
        <w:t xml:space="preserve"> </w:t>
      </w:r>
      <w:r>
        <w:t xml:space="preserve">relativos de los bienes y servicios.</w:t>
      </w:r>
    </w:p>
    <w:bookmarkEnd w:id="34"/>
    <w:bookmarkStart w:id="35" w:name="hiperinflación"/>
    <w:p>
      <w:pPr>
        <w:pStyle w:val="Heading3"/>
      </w:pPr>
      <w:r>
        <w:t xml:space="preserve">4.2.3 Hiperinflación</w:t>
      </w:r>
    </w:p>
    <w:p>
      <w:pPr>
        <w:pStyle w:val="FirstParagraph"/>
      </w:pPr>
      <w:r>
        <w:t xml:space="preserve">La hiperinflación es el caso extremo de inflación, con tasas anuales que</w:t>
      </w:r>
      <w:r>
        <w:t xml:space="preserve"> </w:t>
      </w:r>
      <w:r>
        <w:t xml:space="preserve">superan el 1000%. En esta situación, el dinero pierde prácticamente todo</w:t>
      </w:r>
      <w:r>
        <w:t xml:space="preserve"> </w:t>
      </w:r>
      <w:r>
        <w:t xml:space="preserve">su valor y la economía corre el riesgo de volver a un sistema de trueque</w:t>
      </w:r>
      <w:r>
        <w:t xml:space="preserve"> </w:t>
      </w:r>
      <w:r>
        <w:t xml:space="preserve">o de adoptar una moneda extranjera como medio de cambio. La</w:t>
      </w:r>
      <w:r>
        <w:t xml:space="preserve"> </w:t>
      </w:r>
      <w:r>
        <w:t xml:space="preserve">hiperinflación está generalmente asociada a conflictos políticos,</w:t>
      </w:r>
      <w:r>
        <w:t xml:space="preserve"> </w:t>
      </w:r>
      <w:r>
        <w:t xml:space="preserve">guerras o crisis económicas severas que llevan a los gobiernos a</w:t>
      </w:r>
      <w:r>
        <w:t xml:space="preserve"> </w:t>
      </w:r>
      <w:r>
        <w:t xml:space="preserve">financiar sus gastos mediante la emisión excesiva de papel moneda. En un</w:t>
      </w:r>
      <w:r>
        <w:t xml:space="preserve"> </w:t>
      </w:r>
      <w:r>
        <w:t xml:space="preserve">escenario de hiperinflación, la economía puede regresar a sistemas de</w:t>
      </w:r>
      <w:r>
        <w:t xml:space="preserve"> </w:t>
      </w:r>
      <w:r>
        <w:t xml:space="preserve">trueque, ya que el dinero pierde su función como medio de intercambio y</w:t>
      </w:r>
      <w:r>
        <w:t xml:space="preserve"> </w:t>
      </w:r>
      <w:r>
        <w:t xml:space="preserve">reserva de valor.</w:t>
      </w:r>
    </w:p>
    <w:bookmarkEnd w:id="35"/>
    <w:bookmarkStart w:id="36" w:name="estanflación"/>
    <w:p>
      <w:pPr>
        <w:pStyle w:val="Heading3"/>
      </w:pPr>
      <w:r>
        <w:t xml:space="preserve">4.2.4 Estanflación</w:t>
      </w:r>
    </w:p>
    <w:p>
      <w:pPr>
        <w:pStyle w:val="FirstParagraph"/>
      </w:pPr>
      <w:r>
        <w:t xml:space="preserve">La estanflación es un fenómeno económico complejo que combina la</w:t>
      </w:r>
      <w:r>
        <w:t xml:space="preserve"> </w:t>
      </w:r>
      <w:r>
        <w:t xml:space="preserve">inflación con un proceso de recesión económica y alto desempleo. Este</w:t>
      </w:r>
      <w:r>
        <w:t xml:space="preserve"> </w:t>
      </w:r>
      <w:r>
        <w:t xml:space="preserve">escenario rompe con la relación inversa entre inflación y desempleo</w:t>
      </w:r>
      <w:r>
        <w:t xml:space="preserve"> </w:t>
      </w:r>
      <w:r>
        <w:t xml:space="preserve">postulada por la curva de Phillips, que sostiene que una menor tasa de</w:t>
      </w:r>
      <w:r>
        <w:t xml:space="preserve"> </w:t>
      </w:r>
      <w:r>
        <w:t xml:space="preserve">desempleo se asocia con una mayor tasa de inflación. En la estanflación,</w:t>
      </w:r>
      <w:r>
        <w:t xml:space="preserve"> </w:t>
      </w:r>
      <w:r>
        <w:t xml:space="preserve">se presentan simultáneamente una alta inflación y un alto desempleo, lo</w:t>
      </w:r>
      <w:r>
        <w:t xml:space="preserve"> </w:t>
      </w:r>
      <w:r>
        <w:t xml:space="preserve">que representa un desafío significativo para los responsables de la</w:t>
      </w:r>
      <w:r>
        <w:t xml:space="preserve"> </w:t>
      </w:r>
      <w:r>
        <w:t xml:space="preserve">política económica. La solución a la estanflación requiere políticas</w:t>
      </w:r>
      <w:r>
        <w:t xml:space="preserve"> </w:t>
      </w:r>
      <w:r>
        <w:t xml:space="preserve">económicas que actúen sobre la demanda agregada, como el aumento del</w:t>
      </w:r>
      <w:r>
        <w:t xml:space="preserve"> </w:t>
      </w:r>
      <w:r>
        <w:t xml:space="preserve">gasto público, la reducción de los impuestos o el descenso de las tasas</w:t>
      </w:r>
      <w:r>
        <w:t xml:space="preserve"> </w:t>
      </w:r>
      <w:r>
        <w:t xml:space="preserve">de interés, con el objetivo de estimular la producción y el empleo sin</w:t>
      </w:r>
      <w:r>
        <w:t xml:space="preserve"> </w:t>
      </w:r>
      <w:r>
        <w:t xml:space="preserve">agravar la inflación.</w:t>
      </w:r>
    </w:p>
    <w:bookmarkEnd w:id="36"/>
    <w:bookmarkEnd w:id="37"/>
    <w:bookmarkStart w:id="40" w:name="causas-de-la-inflación"/>
    <w:p>
      <w:pPr>
        <w:pStyle w:val="Heading2"/>
      </w:pPr>
      <w:r>
        <w:t xml:space="preserve">4.3 Causas de la Inflación</w:t>
      </w:r>
    </w:p>
    <w:p>
      <w:pPr>
        <w:pStyle w:val="FirstParagraph"/>
      </w:pPr>
      <w:r>
        <w:t xml:space="preserve">Según Le Roy (2001), la inflación ocurre debido a un incremento en la</w:t>
      </w:r>
      <w:r>
        <w:t xml:space="preserve"> </w:t>
      </w:r>
      <w:r>
        <w:t xml:space="preserve">demanda total, lo que aumenta los precios (inflación por la demanda), o</w:t>
      </w:r>
      <w:r>
        <w:t xml:space="preserve"> </w:t>
      </w:r>
      <w:r>
        <w:t xml:space="preserve">debido a un incremento en los costos de producción que empuja hacia</w:t>
      </w:r>
      <w:r>
        <w:t xml:space="preserve"> </w:t>
      </w:r>
      <w:r>
        <w:t xml:space="preserve">arriba los precios de los productos terminados (inflación por alza de</w:t>
      </w:r>
      <w:r>
        <w:t xml:space="preserve"> </w:t>
      </w:r>
      <w:r>
        <w:t xml:space="preserve">costos). Estas causas pueden clasificarse en internas y externas,</w:t>
      </w:r>
      <w:r>
        <w:t xml:space="preserve"> </w:t>
      </w:r>
      <w:r>
        <w:t xml:space="preserve">dependiendo de su origen.</w:t>
      </w:r>
    </w:p>
    <w:bookmarkStart w:id="38" w:name="causas-internas"/>
    <w:p>
      <w:pPr>
        <w:pStyle w:val="Heading3"/>
      </w:pPr>
      <w:r>
        <w:t xml:space="preserve">4.3.1 Causas Internas</w:t>
      </w:r>
    </w:p>
    <w:p>
      <w:pPr>
        <w:pStyle w:val="FirstParagraph"/>
      </w:pPr>
      <w:r>
        <w:t xml:space="preserve">Las causas internas de la inflación son aquellas que se originan dentro</w:t>
      </w:r>
      <w:r>
        <w:t xml:space="preserve"> </w:t>
      </w:r>
      <w:r>
        <w:t xml:space="preserve">de la economía de un país. Entre las más importantes se encuentran: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Emisión excesiva de papel moneda:</w:t>
      </w:r>
      <w:r>
        <w:t xml:space="preserve"> </w:t>
      </w:r>
      <w:r>
        <w:t xml:space="preserve">Cuando el gobierno o el banco</w:t>
      </w:r>
      <w:r>
        <w:t xml:space="preserve"> </w:t>
      </w:r>
      <w:r>
        <w:t xml:space="preserve">central emiten más dinero del que la economía necesita para sus</w:t>
      </w:r>
      <w:r>
        <w:t xml:space="preserve"> </w:t>
      </w:r>
      <w:r>
        <w:t xml:space="preserve">transacciones, se produce un exceso de liquidez que presiona al alza</w:t>
      </w:r>
      <w:r>
        <w:t xml:space="preserve"> </w:t>
      </w:r>
      <w:r>
        <w:t xml:space="preserve">los precios. Este fue uno de los principales factores de la</w:t>
      </w:r>
      <w:r>
        <w:t xml:space="preserve"> </w:t>
      </w:r>
      <w:r>
        <w:t xml:space="preserve">hiperinflación peruana de los años 80, cuando el déficit fiscal se</w:t>
      </w:r>
      <w:r>
        <w:t xml:space="preserve"> </w:t>
      </w:r>
      <w:r>
        <w:t xml:space="preserve">financiaba mediante la emisión de moneda.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Oferta insuficiente de productos agropecuarios:</w:t>
      </w:r>
      <w:r>
        <w:t xml:space="preserve"> </w:t>
      </w:r>
      <w:r>
        <w:t xml:space="preserve">Cuando la</w:t>
      </w:r>
      <w:r>
        <w:t xml:space="preserve"> </w:t>
      </w:r>
      <w:r>
        <w:t xml:space="preserve">producción de alimentos no alcanza a cubrir la demanda, los precios</w:t>
      </w:r>
      <w:r>
        <w:t xml:space="preserve"> </w:t>
      </w:r>
      <w:r>
        <w:t xml:space="preserve">de estos productos aumentan, lo que tiene un efecto directo en la</w:t>
      </w:r>
      <w:r>
        <w:t xml:space="preserve"> </w:t>
      </w:r>
      <w:r>
        <w:t xml:space="preserve">inflación, dado el peso significativo de los alimentos en la canasta</w:t>
      </w:r>
      <w:r>
        <w:t xml:space="preserve"> </w:t>
      </w:r>
      <w:r>
        <w:t xml:space="preserve">de consumo.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Excesivo afán de lucro de los capitalistas:</w:t>
      </w:r>
      <w:r>
        <w:t xml:space="preserve"> </w:t>
      </w:r>
      <w:r>
        <w:t xml:space="preserve">En algunos casos,</w:t>
      </w:r>
      <w:r>
        <w:t xml:space="preserve"> </w:t>
      </w:r>
      <w:r>
        <w:t xml:space="preserve">los empresarios pueden aumentar los precios de sus productos para</w:t>
      </w:r>
      <w:r>
        <w:t xml:space="preserve"> </w:t>
      </w:r>
      <w:r>
        <w:t xml:space="preserve">obtener mayores ganancias, lo que contribuye a la inflación.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Especulación y acaparamiento de mercancías:</w:t>
      </w:r>
      <w:r>
        <w:t xml:space="preserve"> </w:t>
      </w:r>
      <w:r>
        <w:t xml:space="preserve">Los especuladores</w:t>
      </w:r>
      <w:r>
        <w:t xml:space="preserve"> </w:t>
      </w:r>
      <w:r>
        <w:t xml:space="preserve">pueden acaparar productos para crear escasez artificial y luego</w:t>
      </w:r>
      <w:r>
        <w:t xml:space="preserve"> </w:t>
      </w:r>
      <w:r>
        <w:t xml:space="preserve">venderlos a precios más altos, generando presiones inflacionarias.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Altas tasas de interés bancario:</w:t>
      </w:r>
      <w:r>
        <w:t xml:space="preserve"> </w:t>
      </w:r>
      <w:r>
        <w:t xml:space="preserve">Las altas tasas de interés</w:t>
      </w:r>
      <w:r>
        <w:t xml:space="preserve"> </w:t>
      </w:r>
      <w:r>
        <w:t xml:space="preserve">encarecen el crédito, lo que puede aumentar los costos de producción</w:t>
      </w:r>
      <w:r>
        <w:t xml:space="preserve"> </w:t>
      </w:r>
      <w:r>
        <w:t xml:space="preserve">y, por tanto, los precios de los productos.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Devaluación:</w:t>
      </w:r>
      <w:r>
        <w:t xml:space="preserve"> </w:t>
      </w:r>
      <w:r>
        <w:t xml:space="preserve">La devaluación de la moneda local aumenta el precio</w:t>
      </w:r>
      <w:r>
        <w:t xml:space="preserve"> </w:t>
      </w:r>
      <w:r>
        <w:t xml:space="preserve">de los productos importados y de los productos nacionales que</w:t>
      </w:r>
      <w:r>
        <w:t xml:space="preserve"> </w:t>
      </w:r>
      <w:r>
        <w:t xml:space="preserve">utilizan insumos importados, lo que presiona al alza la inflación.</w:t>
      </w:r>
    </w:p>
    <w:bookmarkEnd w:id="38"/>
    <w:bookmarkStart w:id="39" w:name="causas-externas"/>
    <w:p>
      <w:pPr>
        <w:pStyle w:val="Heading3"/>
      </w:pPr>
      <w:r>
        <w:t xml:space="preserve">4.3.2 Causas Externas</w:t>
      </w:r>
    </w:p>
    <w:p>
      <w:pPr>
        <w:pStyle w:val="FirstParagraph"/>
      </w:pPr>
      <w:r>
        <w:t xml:space="preserve">Las causas externas de la inflación provienen del exterior y afectan a</w:t>
      </w:r>
      <w:r>
        <w:t xml:space="preserve"> </w:t>
      </w:r>
      <w:r>
        <w:t xml:space="preserve">la economía de un país. Entre las más relevantes se encuentran: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Importación excesiva de mercancías a precios muy altos:</w:t>
      </w:r>
      <w:r>
        <w:t xml:space="preserve"> </w:t>
      </w:r>
      <w:r>
        <w:t xml:space="preserve">Cuando</w:t>
      </w:r>
      <w:r>
        <w:t xml:space="preserve"> </w:t>
      </w:r>
      <w:r>
        <w:t xml:space="preserve">un país importa productos a precios elevados, esto puede</w:t>
      </w:r>
      <w:r>
        <w:t xml:space="preserve"> </w:t>
      </w:r>
      <w:r>
        <w:t xml:space="preserve">transmitirse a los precios internos, generando inflación.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Afluencia excesiva de capitales externos:</w:t>
      </w:r>
      <w:r>
        <w:t xml:space="preserve"> </w:t>
      </w:r>
      <w:r>
        <w:t xml:space="preserve">Una gran entrada de</w:t>
      </w:r>
      <w:r>
        <w:t xml:space="preserve"> </w:t>
      </w:r>
      <w:r>
        <w:t xml:space="preserve">capitales extranjeros puede aumentar la demanda de la moneda local,</w:t>
      </w:r>
      <w:r>
        <w:t xml:space="preserve"> </w:t>
      </w:r>
      <w:r>
        <w:t xml:space="preserve">lo que puede llevar a una apreciación del tipo de cambio y,</w:t>
      </w:r>
      <w:r>
        <w:t xml:space="preserve"> </w:t>
      </w:r>
      <w:r>
        <w:t xml:space="preserve">posteriormente, a una devaluación que genere inflación.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Exportación excesiva de algunos productos:</w:t>
      </w:r>
      <w:r>
        <w:t xml:space="preserve"> </w:t>
      </w:r>
      <w:r>
        <w:t xml:space="preserve">La exportación masiva</w:t>
      </w:r>
      <w:r>
        <w:t xml:space="preserve"> </w:t>
      </w:r>
      <w:r>
        <w:t xml:space="preserve">de productos puede reducir su oferta interna, lo que aumenta sus</w:t>
      </w:r>
      <w:r>
        <w:t xml:space="preserve"> </w:t>
      </w:r>
      <w:r>
        <w:t xml:space="preserve">precios en el mercado local.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Especulación y acaparamiento a nivel mundial:</w:t>
      </w:r>
      <w:r>
        <w:t xml:space="preserve"> </w:t>
      </w:r>
      <w:r>
        <w:t xml:space="preserve">Los movimientos</w:t>
      </w:r>
      <w:r>
        <w:t xml:space="preserve"> </w:t>
      </w:r>
      <w:r>
        <w:t xml:space="preserve">especulativos en los mercados internacionales de commodities pueden</w:t>
      </w:r>
      <w:r>
        <w:t xml:space="preserve"> </w:t>
      </w:r>
      <w:r>
        <w:t xml:space="preserve">provocar aumentos significativos en los precios de los productos</w:t>
      </w:r>
      <w:r>
        <w:t xml:space="preserve"> </w:t>
      </w:r>
      <w:r>
        <w:t xml:space="preserve">básicos, lo que afecta a los países importadores.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Excesiva deuda externa:</w:t>
      </w:r>
      <w:r>
        <w:t xml:space="preserve"> </w:t>
      </w:r>
      <w:r>
        <w:t xml:space="preserve">Una deuda externa muy alta puede generar</w:t>
      </w:r>
      <w:r>
        <w:t xml:space="preserve"> </w:t>
      </w:r>
      <w:r>
        <w:t xml:space="preserve">presiones sobre el tipo de cambio y la balanza de pagos, lo que</w:t>
      </w:r>
      <w:r>
        <w:t xml:space="preserve"> </w:t>
      </w:r>
      <w:r>
        <w:t xml:space="preserve">puede traducirse en inflación.</w:t>
      </w:r>
    </w:p>
    <w:bookmarkEnd w:id="39"/>
    <w:bookmarkEnd w:id="40"/>
    <w:bookmarkStart w:id="43" w:name="consecuencias-de-la-inflación"/>
    <w:p>
      <w:pPr>
        <w:pStyle w:val="Heading2"/>
      </w:pPr>
      <w:r>
        <w:t xml:space="preserve">4.4 Consecuencias de la Inflación</w:t>
      </w:r>
    </w:p>
    <w:p>
      <w:pPr>
        <w:pStyle w:val="FirstParagraph"/>
      </w:pPr>
      <w:r>
        <w:t xml:space="preserve">La inflación tiene consecuencias económicas y sociales significativas</w:t>
      </w:r>
      <w:r>
        <w:t xml:space="preserve"> </w:t>
      </w:r>
      <w:r>
        <w:t xml:space="preserve">que afectan a toda la sociedad. Estas consecuencias varían en intensidad</w:t>
      </w:r>
      <w:r>
        <w:t xml:space="preserve"> </w:t>
      </w:r>
      <w:r>
        <w:t xml:space="preserve">según el nivel de inflación y la estructura económica del país.</w:t>
      </w:r>
    </w:p>
    <w:bookmarkStart w:id="41" w:name="consecuencias-económicas"/>
    <w:p>
      <w:pPr>
        <w:pStyle w:val="Heading3"/>
      </w:pPr>
      <w:r>
        <w:t xml:space="preserve">4.4.1 Consecuencias Económicas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Aumento en el costo de vida:</w:t>
      </w:r>
      <w:r>
        <w:t xml:space="preserve"> </w:t>
      </w:r>
      <w:r>
        <w:t xml:space="preserve">La inflación reduce el poder</w:t>
      </w:r>
      <w:r>
        <w:t xml:space="preserve"> </w:t>
      </w:r>
      <w:r>
        <w:t xml:space="preserve">adquisitivo de los salarios y los ingresos, lo que significa que las</w:t>
      </w:r>
      <w:r>
        <w:t xml:space="preserve"> </w:t>
      </w:r>
      <w:r>
        <w:t xml:space="preserve">personas pueden comprar menos bienes y servicios con el mismo monto</w:t>
      </w:r>
      <w:r>
        <w:t xml:space="preserve"> </w:t>
      </w:r>
      <w:r>
        <w:t xml:space="preserve">de dinero.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Desincentivo a la inversión a largo plazo:</w:t>
      </w:r>
      <w:r>
        <w:t xml:space="preserve"> </w:t>
      </w:r>
      <w:r>
        <w:t xml:space="preserve">La incertidumbre</w:t>
      </w:r>
      <w:r>
        <w:t xml:space="preserve"> </w:t>
      </w:r>
      <w:r>
        <w:t xml:space="preserve">sobre los precios futuros desalienta la inversión en proyectos de</w:t>
      </w:r>
      <w:r>
        <w:t xml:space="preserve"> </w:t>
      </w:r>
      <w:r>
        <w:t xml:space="preserve">largo plazo, ya que los empresarios no pueden predecir con certeza</w:t>
      </w:r>
      <w:r>
        <w:t xml:space="preserve"> </w:t>
      </w:r>
      <w:r>
        <w:t xml:space="preserve">sus costos y beneficios.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Beneficio para los deudores:</w:t>
      </w:r>
      <w:r>
        <w:t xml:space="preserve"> </w:t>
      </w:r>
      <w:r>
        <w:t xml:space="preserve">Los deudores se benefician de la</w:t>
      </w:r>
      <w:r>
        <w:t xml:space="preserve"> </w:t>
      </w:r>
      <w:r>
        <w:t xml:space="preserve">inflación, ya que pagan sus deudas con dinero de menor valor real.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Devaluación de la moneda local:</w:t>
      </w:r>
      <w:r>
        <w:t xml:space="preserve"> </w:t>
      </w:r>
      <w:r>
        <w:t xml:space="preserve">La inflación suele ir acompañada</w:t>
      </w:r>
      <w:r>
        <w:t xml:space="preserve"> </w:t>
      </w:r>
      <w:r>
        <w:t xml:space="preserve">de una devaluación de la moneda local, lo que aumenta el precio de</w:t>
      </w:r>
      <w:r>
        <w:t xml:space="preserve"> </w:t>
      </w:r>
      <w:r>
        <w:t xml:space="preserve">los productos importados y puede generar una fuga de capitales hacia</w:t>
      </w:r>
      <w:r>
        <w:t xml:space="preserve"> </w:t>
      </w:r>
      <w:r>
        <w:t xml:space="preserve">monedas más estables.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Distorsión de los precios relativos:</w:t>
      </w:r>
      <w:r>
        <w:t xml:space="preserve"> </w:t>
      </w:r>
      <w:r>
        <w:t xml:space="preserve">La inflación, especialmente</w:t>
      </w:r>
      <w:r>
        <w:t xml:space="preserve"> </w:t>
      </w:r>
      <w:r>
        <w:t xml:space="preserve">cuando es muy alta, distorsiona los precios relativos de los bienes</w:t>
      </w:r>
      <w:r>
        <w:t xml:space="preserve"> </w:t>
      </w:r>
      <w:r>
        <w:t xml:space="preserve">y servicios, lo que lleva a una asignación ineficiente de los</w:t>
      </w:r>
      <w:r>
        <w:t xml:space="preserve"> </w:t>
      </w:r>
      <w:r>
        <w:t xml:space="preserve">recursos.</w:t>
      </w:r>
    </w:p>
    <w:bookmarkEnd w:id="41"/>
    <w:bookmarkStart w:id="42" w:name="consecuencias-sociales"/>
    <w:p>
      <w:pPr>
        <w:pStyle w:val="Heading3"/>
      </w:pPr>
      <w:r>
        <w:t xml:space="preserve">4.4.2 Consecuencias Sociales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Empobrecimiento de los sectores de ingresos fijos:</w:t>
      </w:r>
      <w:r>
        <w:t xml:space="preserve"> </w:t>
      </w:r>
      <w:r>
        <w:t xml:space="preserve">Los</w:t>
      </w:r>
      <w:r>
        <w:t xml:space="preserve"> </w:t>
      </w:r>
      <w:r>
        <w:t xml:space="preserve">jubilados, los pensionistas y los trabajadores cuyos salarios no se</w:t>
      </w:r>
      <w:r>
        <w:t xml:space="preserve"> </w:t>
      </w:r>
      <w:r>
        <w:t xml:space="preserve">ajustan a la inflación sufren un deterioro en su nivel de vida.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Aumento de la pobreza:</w:t>
      </w:r>
      <w:r>
        <w:t xml:space="preserve"> </w:t>
      </w:r>
      <w:r>
        <w:t xml:space="preserve">La inflación, especialmente la</w:t>
      </w:r>
      <w:r>
        <w:t xml:space="preserve"> </w:t>
      </w:r>
      <w:r>
        <w:t xml:space="preserve">hiperinflación, puede empobrecer a grandes sectores de la población,</w:t>
      </w:r>
      <w:r>
        <w:t xml:space="preserve"> </w:t>
      </w:r>
      <w:r>
        <w:t xml:space="preserve">especialmente a los más vulnerables.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Descontento social:</w:t>
      </w:r>
      <w:r>
        <w:t xml:space="preserve"> </w:t>
      </w:r>
      <w:r>
        <w:t xml:space="preserve">La inflación puede generar descontento</w:t>
      </w:r>
      <w:r>
        <w:t xml:space="preserve"> </w:t>
      </w:r>
      <w:r>
        <w:t xml:space="preserve">social y protestas, especialmente cuando afecta de manera</w:t>
      </w:r>
      <w:r>
        <w:t xml:space="preserve"> </w:t>
      </w:r>
      <w:r>
        <w:t xml:space="preserve">desproporcionada a los sectores de menores ingresos.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Trueque:</w:t>
      </w:r>
      <w:r>
        <w:t xml:space="preserve"> </w:t>
      </w:r>
      <w:r>
        <w:t xml:space="preserve">En casos extremos de hiperinflación, el dinero pierde</w:t>
      </w:r>
      <w:r>
        <w:t xml:space="preserve"> </w:t>
      </w:r>
      <w:r>
        <w:t xml:space="preserve">su valor como medio de intercambio y la gente recurre al trueque de</w:t>
      </w:r>
      <w:r>
        <w:t xml:space="preserve"> </w:t>
      </w:r>
      <w:r>
        <w:t xml:space="preserve">bienes y servicios.</w:t>
      </w:r>
    </w:p>
    <w:bookmarkEnd w:id="42"/>
    <w:bookmarkEnd w:id="43"/>
    <w:bookmarkEnd w:id="44"/>
    <w:bookmarkStart w:id="54" w:name="X446b64abb7742fb17ad293e2f9ee7a8047640d5"/>
    <w:p>
      <w:pPr>
        <w:pStyle w:val="Heading1"/>
      </w:pPr>
      <w:r>
        <w:t xml:space="preserve">5. Análisis Estadístico del Comportamiento de la Inflación (1980-2017)</w:t>
      </w:r>
    </w:p>
    <w:bookmarkStart w:id="45" w:name="X7de0257051e9b00c3d13c35cf677ef9e3f80b1b"/>
    <w:p>
      <w:pPr>
        <w:pStyle w:val="Heading2"/>
      </w:pPr>
      <w:r>
        <w:t xml:space="preserve">5.1 Panorama General de la Evolución de la Tasa de Inflación</w:t>
      </w:r>
    </w:p>
    <w:p>
      <w:pPr>
        <w:pStyle w:val="FirstParagraph"/>
      </w:pPr>
      <w:r>
        <w:t xml:space="preserve">La evolución de la tasa de inflación en el Perú entre 1980 y 2017</w:t>
      </w:r>
      <w:r>
        <w:t xml:space="preserve"> </w:t>
      </w:r>
      <w:r>
        <w:t xml:space="preserve">presenta una trayectoria extraordinaria que refleja las profundas</w:t>
      </w:r>
      <w:r>
        <w:t xml:space="preserve"> </w:t>
      </w:r>
      <w:r>
        <w:t xml:space="preserve">transformaciones económicas y políticas del país. El período se inicia</w:t>
      </w:r>
      <w:r>
        <w:t xml:space="preserve"> </w:t>
      </w:r>
      <w:r>
        <w:t xml:space="preserve">con tasas de inflación ya elevadas, producto de los desequilibrios</w:t>
      </w:r>
      <w:r>
        <w:t xml:space="preserve"> </w:t>
      </w:r>
      <w:r>
        <w:t xml:space="preserve">macroeconómicos de la década anterior. Durante los años 80, la inflación</w:t>
      </w:r>
      <w:r>
        <w:t xml:space="preserve"> </w:t>
      </w:r>
      <w:r>
        <w:t xml:space="preserve">se mantuvo en niveles de dos y tres dígitos, con un promedio anual que</w:t>
      </w:r>
      <w:r>
        <w:t xml:space="preserve"> </w:t>
      </w:r>
      <w:r>
        <w:t xml:space="preserve">osciló entre el 60% y el 111%, alcanzando su pico más crítico en 1989</w:t>
      </w:r>
      <w:r>
        <w:t xml:space="preserve"> </w:t>
      </w:r>
      <w:r>
        <w:t xml:space="preserve">durante el gobierno de Alan García. La década de 1990 marca un punto de</w:t>
      </w:r>
      <w:r>
        <w:t xml:space="preserve"> </w:t>
      </w:r>
      <w:r>
        <w:t xml:space="preserve">inflexión, con la implementación de programas de estabilización que</w:t>
      </w:r>
      <w:r>
        <w:t xml:space="preserve"> </w:t>
      </w:r>
      <w:r>
        <w:t xml:space="preserve">lograron reducir drásticamente la inflación, de</w:t>
      </w:r>
      <w:r>
        <w:t xml:space="preserve"> </w:t>
      </w:r>
      <w:r>
        <w:rPr>
          <w:b/>
          <w:bCs/>
        </w:rPr>
        <w:t xml:space="preserve">7,650% en 1990</w:t>
      </w:r>
      <w:r>
        <w:t xml:space="preserve"> </w:t>
      </w:r>
      <w:r>
        <w:t xml:space="preserve">a</w:t>
      </w:r>
      <w:r>
        <w:t xml:space="preserve"> </w:t>
      </w:r>
      <w:r>
        <w:t xml:space="preserve">niveles de un dígito a partir del año 2000. Esta tendencia descendente</w:t>
      </w:r>
      <w:r>
        <w:t xml:space="preserve"> </w:t>
      </w:r>
      <w:r>
        <w:t xml:space="preserve">se consolidó en las décadas siguientes, con la inflación manteniéndose</w:t>
      </w:r>
      <w:r>
        <w:t xml:space="preserve"> </w:t>
      </w:r>
      <w:r>
        <w:t xml:space="preserve">dentro de rangos moderados, aunque con cierta volatilidad explicada por</w:t>
      </w:r>
      <w:r>
        <w:t xml:space="preserve"> </w:t>
      </w:r>
      <w:r>
        <w:t xml:space="preserve">factores externos como los precios de los commodities y fenómenos</w:t>
      </w:r>
      <w:r>
        <w:t xml:space="preserve"> </w:t>
      </w:r>
      <w:r>
        <w:t xml:space="preserve">climáticos.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Año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Tasa de Inflación (%)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Año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Tasa de Inflación (%)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Año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Tasa de Inflación (%)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Año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Tasa de Inflación (%)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59.2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1990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7,650.0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73.0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1991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139.2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4.7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73.0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1992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56.7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2002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125.1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1993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39.5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2003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111.5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1994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2004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2014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158.3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1995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10.2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2005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4.4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62.9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1996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11.8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2006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114.5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1997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6.5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2007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1,722.3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1998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6.0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2008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6.7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2,775.0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1999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2009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i/>
          <w:iCs/>
        </w:rPr>
        <w:t xml:space="preserve">Fuente: Elaboración propia con datos del Banco Central de Reserva del</w:t>
      </w:r>
      <w:r>
        <w:rPr>
          <w:i/>
          <w:iCs/>
        </w:rPr>
        <w:t xml:space="preserve"> </w:t>
      </w:r>
      <w:r>
        <w:rPr>
          <w:i/>
          <w:iCs/>
        </w:rPr>
        <w:t xml:space="preserve">Perú (BCRP) e Instituto Nacional de Estadística e Informática (INEI).</w:t>
      </w:r>
    </w:p>
    <w:bookmarkEnd w:id="45"/>
    <w:bookmarkStart w:id="48" w:name="década-de-1980-crisis-e-hiperinflación"/>
    <w:p>
      <w:pPr>
        <w:pStyle w:val="Heading2"/>
      </w:pPr>
      <w:r>
        <w:t xml:space="preserve">5.2 Década de 1980: Crisis e Hiperinflación</w:t>
      </w:r>
    </w:p>
    <w:p>
      <w:pPr>
        <w:pStyle w:val="FirstParagraph"/>
      </w:pPr>
      <w:r>
        <w:t xml:space="preserve">La década de los ochenta representa uno de los períodos más turbulentos</w:t>
      </w:r>
      <w:r>
        <w:t xml:space="preserve"> </w:t>
      </w:r>
      <w:r>
        <w:t xml:space="preserve">en la historia económica del Perú, caracterizado por una crisis</w:t>
      </w:r>
      <w:r>
        <w:t xml:space="preserve"> </w:t>
      </w:r>
      <w:r>
        <w:t xml:space="preserve">económica profunda y una hiperinflación descontrolada. El período</w:t>
      </w:r>
      <w:r>
        <w:t xml:space="preserve"> </w:t>
      </w:r>
      <w:r>
        <w:t xml:space="preserve">comenzó con la transición a la democracia tras el gobierno militar, con</w:t>
      </w:r>
      <w:r>
        <w:t xml:space="preserve"> </w:t>
      </w:r>
      <w:r>
        <w:t xml:space="preserve">Fernando Belaunde Terry asumiendo la presidencia en 1980. Durante su</w:t>
      </w:r>
      <w:r>
        <w:t xml:space="preserve"> </w:t>
      </w:r>
      <w:r>
        <w:t xml:space="preserve">mandato (1980-1985), la inflación se mantuvo en niveles elevados,</w:t>
      </w:r>
      <w:r>
        <w:t xml:space="preserve"> </w:t>
      </w:r>
      <w:r>
        <w:t xml:space="preserve">oscilando entre el 59% y el 111% anual, impulsada por déficits fiscales</w:t>
      </w:r>
      <w:r>
        <w:t xml:space="preserve"> </w:t>
      </w:r>
      <w:r>
        <w:t xml:space="preserve">persistentes, devaluaciones y la postergación de ajustes en precios</w:t>
      </w:r>
      <w:r>
        <w:t xml:space="preserve"> </w:t>
      </w:r>
      <w:r>
        <w:t xml:space="preserve">controlados. Sin embargo, fue durante el gobierno de Alan García Pérez</w:t>
      </w:r>
      <w:r>
        <w:t xml:space="preserve"> </w:t>
      </w:r>
      <w:r>
        <w:t xml:space="preserve">(1985-1990) que la situación se agravó dramáticamente. Las políticas</w:t>
      </w:r>
      <w:r>
        <w:t xml:space="preserve"> </w:t>
      </w:r>
      <w:r>
        <w:t xml:space="preserve">económicas heterodoxas implementadas, como el control de precios, los</w:t>
      </w:r>
      <w:r>
        <w:t xml:space="preserve"> </w:t>
      </w:r>
      <w:r>
        <w:t xml:space="preserve">tipos de cambio múltiples y la expansión del crédito subsidiado,</w:t>
      </w:r>
      <w:r>
        <w:t xml:space="preserve"> </w:t>
      </w:r>
      <w:r>
        <w:t xml:space="preserve">resultaron en un desastre económico. La emisión excesiva de moneda para</w:t>
      </w:r>
      <w:r>
        <w:t xml:space="preserve"> </w:t>
      </w:r>
      <w:r>
        <w:t xml:space="preserve">financiar el déficit fiscal, sumado a la pérdida de credibilidad en las</w:t>
      </w:r>
      <w:r>
        <w:t xml:space="preserve"> </w:t>
      </w:r>
      <w:r>
        <w:t xml:space="preserve">instituciones económicas, llevó a una espiral inflacionaria que culminó</w:t>
      </w:r>
      <w:r>
        <w:t xml:space="preserve"> </w:t>
      </w:r>
      <w:r>
        <w:t xml:space="preserve">en la hiperinflación. En 1988, la inflación mensual superó el 100% en</w:t>
      </w:r>
      <w:r>
        <w:t xml:space="preserve"> </w:t>
      </w:r>
      <w:r>
        <w:t xml:space="preserve">septiembre, y en 1990, la inflación anual alcanzó el</w:t>
      </w:r>
      <w:r>
        <w:t xml:space="preserve"> </w:t>
      </w:r>
      <w:r>
        <w:rPr>
          <w:b/>
          <w:bCs/>
        </w:rPr>
        <w:t xml:space="preserve">7,650%</w:t>
      </w:r>
      <w:r>
        <w:t xml:space="preserve">,</w:t>
      </w:r>
      <w:r>
        <w:t xml:space="preserve"> </w:t>
      </w:r>
      <w:r>
        <w:t xml:space="preserve">destruyendo completamente el valor de la moneda y empobreciendo a la</w:t>
      </w:r>
      <w:r>
        <w:t xml:space="preserve"> </w:t>
      </w:r>
      <w:r>
        <w:t xml:space="preserve">población. Este período de</w:t>
      </w:r>
      <w:r>
        <w:t xml:space="preserve"> </w:t>
      </w:r>
      <w:r>
        <w:t xml:space="preserve">“hiperestanflación”</w:t>
      </w:r>
      <w:r>
        <w:t xml:space="preserve"> </w:t>
      </w:r>
      <w:r>
        <w:t xml:space="preserve">combinó la inflación más</w:t>
      </w:r>
      <w:r>
        <w:t xml:space="preserve"> </w:t>
      </w:r>
      <w:r>
        <w:t xml:space="preserve">alta de la historia del país con una severa recesión económica, dejando</w:t>
      </w:r>
      <w:r>
        <w:t xml:space="preserve"> </w:t>
      </w:r>
      <w:r>
        <w:t xml:space="preserve">una profunda cicatriz en la sociedad peruana.</w:t>
      </w:r>
    </w:p>
    <w:bookmarkStart w:id="46" w:name="X6afdf033145133204149cf704a653d58585d8f3"/>
    <w:p>
      <w:pPr>
        <w:pStyle w:val="Heading3"/>
      </w:pPr>
      <w:r>
        <w:t xml:space="preserve">5.2.1 Gobierno de Fernando Belaunde Terry (1980-1985)</w:t>
      </w:r>
    </w:p>
    <w:p>
      <w:pPr>
        <w:pStyle w:val="FirstParagraph"/>
      </w:pPr>
      <w:r>
        <w:t xml:space="preserve">El gobierno de Fernando Belaunde Terry (1980-1985) heredó una economía</w:t>
      </w:r>
      <w:r>
        <w:t xml:space="preserve"> </w:t>
      </w:r>
      <w:r>
        <w:t xml:space="preserve">con problemas estructurales y una inflación creciente. Durante su</w:t>
      </w:r>
      <w:r>
        <w:t xml:space="preserve"> </w:t>
      </w:r>
      <w:r>
        <w:t xml:space="preserve">mandato, la tasa de inflación se mantuvo en niveles elevados, oscilando</w:t>
      </w:r>
      <w:r>
        <w:t xml:space="preserve"> </w:t>
      </w:r>
      <w:r>
        <w:t xml:space="preserve">entre el 59% y el 111% anual, impulsada por factores como el déficit</w:t>
      </w:r>
      <w:r>
        <w:t xml:space="preserve"> </w:t>
      </w:r>
      <w:r>
        <w:t xml:space="preserve">fiscal, la expansión del crédito interno y los desastres naturales como</w:t>
      </w:r>
      <w:r>
        <w:t xml:space="preserve"> </w:t>
      </w:r>
      <w:r>
        <w:t xml:space="preserve">el Fenómeno del Niño de 1983 . La política de postergación de ajustes en</w:t>
      </w:r>
      <w:r>
        <w:t xml:space="preserve"> </w:t>
      </w:r>
      <w:r>
        <w:t xml:space="preserve">los precios controlados durante el primer semestre de 1980 solo logró</w:t>
      </w:r>
      <w:r>
        <w:t xml:space="preserve"> </w:t>
      </w:r>
      <w:r>
        <w:t xml:space="preserve">trasladar presiones inflacionarias a los años siguientes, agravando el</w:t>
      </w:r>
      <w:r>
        <w:t xml:space="preserve"> </w:t>
      </w:r>
      <w:r>
        <w:t xml:space="preserve">problema. Aunque se observó una breve desaceleración en 1981, la</w:t>
      </w:r>
      <w:r>
        <w:t xml:space="preserve"> </w:t>
      </w:r>
      <w:r>
        <w:t xml:space="preserve">inflación repuntó con fuerza en los años siguientes, alcanzando tasas de</w:t>
      </w:r>
      <w:r>
        <w:t xml:space="preserve"> </w:t>
      </w:r>
      <w:r>
        <w:t xml:space="preserve">tres dígitos: 125.1% en 1983 y 111.5% en 1984. Estos niveles reflejaban</w:t>
      </w:r>
      <w:r>
        <w:t xml:space="preserve"> </w:t>
      </w:r>
      <w:r>
        <w:t xml:space="preserve">la incapacidad de las autoridades para controlar los desequilibrios</w:t>
      </w:r>
      <w:r>
        <w:t xml:space="preserve"> </w:t>
      </w:r>
      <w:r>
        <w:t xml:space="preserve">macroeconómicos subyacentes, como los problemas en las cuentas externas</w:t>
      </w:r>
      <w:r>
        <w:t xml:space="preserve"> </w:t>
      </w:r>
      <w:r>
        <w:t xml:space="preserve">y públicas, la continua devaluación y las expectativas inflacionarias</w:t>
      </w:r>
      <w:r>
        <w:t xml:space="preserve"> </w:t>
      </w:r>
      <w:r>
        <w:t xml:space="preserve">arraigadas.</w:t>
      </w:r>
    </w:p>
    <w:bookmarkEnd w:id="46"/>
    <w:bookmarkStart w:id="47" w:name="gobierno-de-alan-garcía-pérez-1985-1990"/>
    <w:p>
      <w:pPr>
        <w:pStyle w:val="Heading3"/>
      </w:pPr>
      <w:r>
        <w:t xml:space="preserve">5.2.2 Gobierno de Alan García Pérez (1985-1990)</w:t>
      </w:r>
    </w:p>
    <w:p>
      <w:pPr>
        <w:pStyle w:val="FirstParagraph"/>
      </w:pPr>
      <w:r>
        <w:t xml:space="preserve">El gobierno de Alan García Pérez (1985-1990) heredó una economía en</w:t>
      </w:r>
      <w:r>
        <w:t xml:space="preserve"> </w:t>
      </w:r>
      <w:r>
        <w:t xml:space="preserve">crisis y, aunque inicialmente logró una reducción de la inflación en</w:t>
      </w:r>
      <w:r>
        <w:t xml:space="preserve"> </w:t>
      </w:r>
      <w:r>
        <w:t xml:space="preserve">1986, la implementación de políticas económicas heterodoxas, como el</w:t>
      </w:r>
      <w:r>
        <w:t xml:space="preserve"> </w:t>
      </w:r>
      <w:r>
        <w:t xml:space="preserve">control de precios y el anuncio de limitar el pago de la deuda externa</w:t>
      </w:r>
      <w:r>
        <w:t xml:space="preserve"> </w:t>
      </w:r>
      <w:r>
        <w:t xml:space="preserve">al 10% de las exportaciones, generó desconfianza y desequilibrios que</w:t>
      </w:r>
      <w:r>
        <w:t xml:space="preserve"> </w:t>
      </w:r>
      <w:r>
        <w:t xml:space="preserve">agravaron aún más la crisis. La emisión excesiva de moneda para</w:t>
      </w:r>
      <w:r>
        <w:t xml:space="preserve"> </w:t>
      </w:r>
      <w:r>
        <w:t xml:space="preserve">financiar el déficit fiscal, combinada con la pérdida de valor del inti,</w:t>
      </w:r>
      <w:r>
        <w:t xml:space="preserve"> </w:t>
      </w:r>
      <w:r>
        <w:t xml:space="preserve">llevó a la economía a un colapso inflacionario sin precedentes. Los años</w:t>
      </w:r>
      <w:r>
        <w:t xml:space="preserve"> </w:t>
      </w:r>
      <w:r>
        <w:t xml:space="preserve">1988 y 1989 marcaron el pico de la hiperinflación, con tasas anuales de</w:t>
      </w:r>
      <w:r>
        <w:t xml:space="preserve"> </w:t>
      </w:r>
      <w:r>
        <w:rPr>
          <w:b/>
          <w:bCs/>
        </w:rPr>
        <w:t xml:space="preserve">1,722.3% y 2,775.0%</w:t>
      </w:r>
      <w:r>
        <w:t xml:space="preserve">, respectivamente . Esta situación se tradujo en</w:t>
      </w:r>
      <w:r>
        <w:t xml:space="preserve"> </w:t>
      </w:r>
      <w:r>
        <w:t xml:space="preserve">una destrucción casi total del valor adquisitivo de la moneda nacional,</w:t>
      </w:r>
      <w:r>
        <w:t xml:space="preserve"> </w:t>
      </w:r>
      <w:r>
        <w:t xml:space="preserve">el inti, y obligó al gobierno a implementar medidas drásticas, como la</w:t>
      </w:r>
      <w:r>
        <w:t xml:space="preserve"> </w:t>
      </w:r>
      <w:r>
        <w:t xml:space="preserve">creación de un nuevo tipo de cambio para importaciones (dólar MUC) y,</w:t>
      </w:r>
      <w:r>
        <w:t xml:space="preserve"> </w:t>
      </w:r>
      <w:r>
        <w:t xml:space="preserve">finalmente, la sustitución de la moneda. La hiperinflación de fines de</w:t>
      </w:r>
      <w:r>
        <w:t xml:space="preserve"> </w:t>
      </w:r>
      <w:r>
        <w:t xml:space="preserve">los 80 no solo fue un fenómeno económico, sino también un síntoma de una</w:t>
      </w:r>
      <w:r>
        <w:t xml:space="preserve"> </w:t>
      </w:r>
      <w:r>
        <w:t xml:space="preserve">profunda crisis política y social que afectó gravemente el bienestar de</w:t>
      </w:r>
      <w:r>
        <w:t xml:space="preserve"> </w:t>
      </w:r>
      <w:r>
        <w:t xml:space="preserve">la población, especialmente de los sectores más vulnerables.</w:t>
      </w:r>
    </w:p>
    <w:bookmarkEnd w:id="47"/>
    <w:bookmarkEnd w:id="48"/>
    <w:bookmarkStart w:id="50" w:name="Xf8380e114ca27a75ba98de2919bb6d77188c120"/>
    <w:p>
      <w:pPr>
        <w:pStyle w:val="Heading2"/>
      </w:pPr>
      <w:r>
        <w:t xml:space="preserve">5.3 Década de 1990: Estabilización y Reducción</w:t>
      </w:r>
    </w:p>
    <w:p>
      <w:pPr>
        <w:pStyle w:val="FirstParagraph"/>
      </w:pPr>
      <w:r>
        <w:t xml:space="preserve">La década de los noventa marcó un punto de inflexión en la historia</w:t>
      </w:r>
      <w:r>
        <w:t xml:space="preserve"> </w:t>
      </w:r>
      <w:r>
        <w:t xml:space="preserve">económica del Perú, con la implementación de un ambicioso programa de</w:t>
      </w:r>
      <w:r>
        <w:t xml:space="preserve"> </w:t>
      </w:r>
      <w:r>
        <w:t xml:space="preserve">estabilización y reformas estructurales que lograron frenar la</w:t>
      </w:r>
      <w:r>
        <w:t xml:space="preserve"> </w:t>
      </w:r>
      <w:r>
        <w:t xml:space="preserve">hiperinflación y sentar las bases para el crecimiento económico</w:t>
      </w:r>
      <w:r>
        <w:t xml:space="preserve"> </w:t>
      </w:r>
      <w:r>
        <w:t xml:space="preserve">sostenido. El proceso de estabilización comenzó en agosto de 1990 con el</w:t>
      </w:r>
      <w:r>
        <w:t xml:space="preserve"> </w:t>
      </w:r>
      <w:r>
        <w:t xml:space="preserve">gobierno de Alberto Fujimori, quien heredó una economía en caos con una</w:t>
      </w:r>
      <w:r>
        <w:t xml:space="preserve"> </w:t>
      </w:r>
      <w:r>
        <w:t xml:space="preserve">inflación del 7,650% anual. El programa de estabilización, conocido como</w:t>
      </w:r>
      <w:r>
        <w:t xml:space="preserve"> </w:t>
      </w:r>
      <w:r>
        <w:t xml:space="preserve">el</w:t>
      </w:r>
      <w:r>
        <w:t xml:space="preserve"> </w:t>
      </w:r>
      <w:r>
        <w:t xml:space="preserve">“Fujishock”</w:t>
      </w:r>
      <w:r>
        <w:t xml:space="preserve">, incluyó medidas drásticas como la liberalización del</w:t>
      </w:r>
      <w:r>
        <w:t xml:space="preserve"> </w:t>
      </w:r>
      <w:r>
        <w:t xml:space="preserve">mercado de divisas, la eliminación de subsidios, la privatización de</w:t>
      </w:r>
      <w:r>
        <w:t xml:space="preserve"> </w:t>
      </w:r>
      <w:r>
        <w:t xml:space="preserve">empresas estatales y la adopción de una política monetaria restrictiva.</w:t>
      </w:r>
      <w:r>
        <w:t xml:space="preserve"> </w:t>
      </w:r>
      <w:r>
        <w:t xml:space="preserve">Estas medidas, aunque dolorosas en el corto plazo, resultaron efectivas</w:t>
      </w:r>
      <w:r>
        <w:t xml:space="preserve"> </w:t>
      </w:r>
      <w:r>
        <w:t xml:space="preserve">para reducir la inflación de manera dramática. En 1991, la inflación</w:t>
      </w:r>
      <w:r>
        <w:t xml:space="preserve"> </w:t>
      </w:r>
      <w:r>
        <w:t xml:space="preserve">cayó al 139%, y para 1992 ya se encontraba en el 57%. La coherencia</w:t>
      </w:r>
      <w:r>
        <w:t xml:space="preserve"> </w:t>
      </w:r>
      <w:r>
        <w:t xml:space="preserve">entre las políticas monetaria y fiscal fue clave para este logro, con el</w:t>
      </w:r>
      <w:r>
        <w:t xml:space="preserve"> </w:t>
      </w:r>
      <w:r>
        <w:t xml:space="preserve">Banco Central de Reserva del Perú (BCRP) adoptando una política de</w:t>
      </w:r>
      <w:r>
        <w:t xml:space="preserve"> </w:t>
      </w:r>
      <w:r>
        <w:t xml:space="preserve">estricto control de los agregados monetarios. Durante el resto de la</w:t>
      </w:r>
      <w:r>
        <w:t xml:space="preserve"> </w:t>
      </w:r>
      <w:r>
        <w:t xml:space="preserve">década, la inflación continuó su tendencia descendente, alcanzando</w:t>
      </w:r>
      <w:r>
        <w:t xml:space="preserve"> </w:t>
      </w:r>
      <w:r>
        <w:t xml:space="preserve">niveles de un solo dígito por primera vez en décadas. En 1997, la</w:t>
      </w:r>
      <w:r>
        <w:t xml:space="preserve"> </w:t>
      </w:r>
      <w:r>
        <w:t xml:space="preserve">inflación fue del 6.5%, y en 1999, del 3.7%, consolidando el éxito del</w:t>
      </w:r>
      <w:r>
        <w:t xml:space="preserve"> </w:t>
      </w:r>
      <w:r>
        <w:t xml:space="preserve">programa de estabilización y marcando el inicio de una nueva era de</w:t>
      </w:r>
      <w:r>
        <w:t xml:space="preserve"> </w:t>
      </w:r>
      <w:r>
        <w:t xml:space="preserve">estabilidad macroeconómica.</w:t>
      </w:r>
    </w:p>
    <w:bookmarkStart w:id="49" w:name="gobierno-de-alberto-fujimori-1990-2000"/>
    <w:p>
      <w:pPr>
        <w:pStyle w:val="Heading3"/>
      </w:pPr>
      <w:r>
        <w:t xml:space="preserve">5.3.1 Gobierno de Alberto Fujimori (1990-2000)</w:t>
      </w:r>
    </w:p>
    <w:p>
      <w:pPr>
        <w:pStyle w:val="FirstParagraph"/>
      </w:pPr>
      <w:r>
        <w:t xml:space="preserve">El gobierno de Alberto Fujimori (1990-2000) heredó una economía en</w:t>
      </w:r>
      <w:r>
        <w:t xml:space="preserve"> </w:t>
      </w:r>
      <w:r>
        <w:t xml:space="preserve">bancarrota y una inflación desbocada. En agosto de 1990, se implementó</w:t>
      </w:r>
      <w:r>
        <w:t xml:space="preserve"> </w:t>
      </w:r>
      <w:r>
        <w:t xml:space="preserve">el</w:t>
      </w:r>
      <w:r>
        <w:t xml:space="preserve"> </w:t>
      </w:r>
      <w:r>
        <w:t xml:space="preserve">“Fujishock”</w:t>
      </w:r>
      <w:r>
        <w:t xml:space="preserve">, un programa de estabilización ortodoxo que incluyó una</w:t>
      </w:r>
      <w:r>
        <w:t xml:space="preserve"> </w:t>
      </w:r>
      <w:r>
        <w:t xml:space="preserve">masiva corrección de precios (la inflación de agosto de 1990 bordeó el</w:t>
      </w:r>
      <w:r>
        <w:t xml:space="preserve"> </w:t>
      </w:r>
      <w:r>
        <w:t xml:space="preserve">400%), la liberalización del tipo de cambio, una severa restricción del</w:t>
      </w:r>
      <w:r>
        <w:t xml:space="preserve"> </w:t>
      </w:r>
      <w:r>
        <w:t xml:space="preserve">gasto público y una reforma tributaria profunda . Aunque la inflación de</w:t>
      </w:r>
      <w:r>
        <w:t xml:space="preserve"> </w:t>
      </w:r>
      <w:r>
        <w:t xml:space="preserve">1990 fue la más alta de la historia (7,650%), estas medidas sentaron las</w:t>
      </w:r>
      <w:r>
        <w:t xml:space="preserve"> </w:t>
      </w:r>
      <w:r>
        <w:t xml:space="preserve">bases para su control. En 1991, la inflación cayó dramáticamente al</w:t>
      </w:r>
      <w:r>
        <w:t xml:space="preserve"> </w:t>
      </w:r>
      <w:r>
        <w:t xml:space="preserve">139%, y continuó su descenso sostenido durante el resto de la década:</w:t>
      </w:r>
      <w:r>
        <w:t xml:space="preserve"> </w:t>
      </w:r>
      <w:r>
        <w:t xml:space="preserve">56.7% en 1992, 39.5% en 1993, 15.4% en 1994, y finalmente alcanzando un</w:t>
      </w:r>
      <w:r>
        <w:t xml:space="preserve"> </w:t>
      </w:r>
      <w:r>
        <w:t xml:space="preserve">dígito en 1995 (10.2%) . Este logro fue posible gracias a la combinación</w:t>
      </w:r>
      <w:r>
        <w:t xml:space="preserve"> </w:t>
      </w:r>
      <w:r>
        <w:t xml:space="preserve">de una política monetaria restrictiva y la disciplina fiscal. La</w:t>
      </w:r>
      <w:r>
        <w:t xml:space="preserve"> </w:t>
      </w:r>
      <w:r>
        <w:t xml:space="preserve">independencia del Banco Central de Reserva del Perú, consagrada en la</w:t>
      </w:r>
      <w:r>
        <w:t xml:space="preserve"> </w:t>
      </w:r>
      <w:r>
        <w:t xml:space="preserve">Constitución de 1993, fue fundamental para consolidar esta estabilidad y</w:t>
      </w:r>
      <w:r>
        <w:t xml:space="preserve"> </w:t>
      </w:r>
      <w:r>
        <w:t xml:space="preserve">sentar las bases para el crecimiento económico sostenido con baja</w:t>
      </w:r>
      <w:r>
        <w:t xml:space="preserve"> </w:t>
      </w:r>
      <w:r>
        <w:t xml:space="preserve">inflación.</w:t>
      </w:r>
    </w:p>
    <w:bookmarkEnd w:id="49"/>
    <w:bookmarkEnd w:id="50"/>
    <w:bookmarkStart w:id="51" w:name="Xb5c147bd94296240c2bd062c3718dee3f938601"/>
    <w:p>
      <w:pPr>
        <w:pStyle w:val="Heading2"/>
      </w:pPr>
      <w:r>
        <w:t xml:space="preserve">5.4 Década de 2000: Consolidación de la Baja Inflación</w:t>
      </w:r>
    </w:p>
    <w:p>
      <w:pPr>
        <w:pStyle w:val="FirstParagraph"/>
      </w:pPr>
      <w:r>
        <w:t xml:space="preserve">La década de los dos mil se caracterizó por la consolidación de la</w:t>
      </w:r>
      <w:r>
        <w:t xml:space="preserve"> </w:t>
      </w:r>
      <w:r>
        <w:t xml:space="preserve">estabilidad de precios en el Perú, con la implementación del esquema de</w:t>
      </w:r>
      <w:r>
        <w:t xml:space="preserve"> </w:t>
      </w:r>
      <w:r>
        <w:t xml:space="preserve">Metas Explícitas de Inflación en 2002 como el pilar central de la</w:t>
      </w:r>
      <w:r>
        <w:t xml:space="preserve"> </w:t>
      </w:r>
      <w:r>
        <w:t xml:space="preserve">política monetaria. Este marco institucional, que establece un rango</w:t>
      </w:r>
      <w:r>
        <w:t xml:space="preserve"> </w:t>
      </w:r>
      <w:r>
        <w:t xml:space="preserve">meta de inflación de 1% a 3%, ha sido fundamental para anclar las</w:t>
      </w:r>
      <w:r>
        <w:t xml:space="preserve"> </w:t>
      </w:r>
      <w:r>
        <w:t xml:space="preserve">expectativas de los agentes económicos y mantener la inflación bajo</w:t>
      </w:r>
      <w:r>
        <w:t xml:space="preserve"> </w:t>
      </w:r>
      <w:r>
        <w:t xml:space="preserve">control. Durante este período, el Perú logró mantener una de las tasas</w:t>
      </w:r>
      <w:r>
        <w:t xml:space="preserve"> </w:t>
      </w:r>
      <w:r>
        <w:t xml:space="preserve">de inflación más bajas y estables de América Latina, con un promedio</w:t>
      </w:r>
      <w:r>
        <w:t xml:space="preserve"> </w:t>
      </w:r>
      <w:r>
        <w:t xml:space="preserve">anual de 2.5% entre 2002 y 2005, una situación que no se presentaba</w:t>
      </w:r>
      <w:r>
        <w:t xml:space="preserve"> </w:t>
      </w:r>
      <w:r>
        <w:t xml:space="preserve">desde la década de 1960. Sin embargo, la década no estuvo exenta de</w:t>
      </w:r>
      <w:r>
        <w:t xml:space="preserve"> </w:t>
      </w:r>
      <w:r>
        <w:t xml:space="preserve">desafíos. La volatilidad de los precios internacionales de los</w:t>
      </w:r>
      <w:r>
        <w:t xml:space="preserve"> </w:t>
      </w:r>
      <w:r>
        <w:t xml:space="preserve">commodities, especialmente el petróleo y los alimentos, generó presiones</w:t>
      </w:r>
      <w:r>
        <w:t xml:space="preserve"> </w:t>
      </w:r>
      <w:r>
        <w:t xml:space="preserve">inflacionarias puntuales. En 2008, la inflación se aceleró hasta el</w:t>
      </w:r>
      <w:r>
        <w:t xml:space="preserve"> </w:t>
      </w:r>
      <w:r>
        <w:t xml:space="preserve">6.65%, pero la política monetaria del BCRP logró contener el impacto y</w:t>
      </w:r>
      <w:r>
        <w:t xml:space="preserve"> </w:t>
      </w:r>
      <w:r>
        <w:t xml:space="preserve">mantener la inflación dentro del rango meta en la mayoría de los años.</w:t>
      </w:r>
      <w:r>
        <w:t xml:space="preserve"> </w:t>
      </w:r>
      <w:r>
        <w:t xml:space="preserve">El crecimiento económico sostenido, el superávit fiscal y el</w:t>
      </w:r>
      <w:r>
        <w:t xml:space="preserve"> </w:t>
      </w:r>
      <w:r>
        <w:t xml:space="preserve">fortalecimiento de las instituciones económicas también contribuyeron a</w:t>
      </w:r>
      <w:r>
        <w:t xml:space="preserve"> </w:t>
      </w:r>
      <w:r>
        <w:t xml:space="preserve">este entorno de estabilidad de precios.</w:t>
      </w:r>
    </w:p>
    <w:p>
      <w:pPr>
        <w:pStyle w:val="BodyText"/>
      </w:pPr>
      <w:r>
        <w:t xml:space="preserve">La década de 2000 se caracterizó por la consolidación de la baja</w:t>
      </w:r>
      <w:r>
        <w:t xml:space="preserve"> </w:t>
      </w:r>
      <w:r>
        <w:t xml:space="preserve">inflación y la implementación del régimen de Metas Explícitas de</w:t>
      </w:r>
      <w:r>
        <w:t xml:space="preserve"> </w:t>
      </w:r>
      <w:r>
        <w:t xml:space="preserve">Inflación. En 2001, el Perú experimentó un episodio de deflación</w:t>
      </w:r>
      <w:r>
        <w:t xml:space="preserve"> </w:t>
      </w:r>
      <w:r>
        <w:t xml:space="preserve">(-0.13%), el primero desde 1939, debido a la reducción de precios de</w:t>
      </w:r>
      <w:r>
        <w:t xml:space="preserve"> </w:t>
      </w:r>
      <w:r>
        <w:t xml:space="preserve">combustibles y servicios públicos. Sin embargo, a partir de 2002, con la</w:t>
      </w:r>
      <w:r>
        <w:t xml:space="preserve"> </w:t>
      </w:r>
      <w:r>
        <w:t xml:space="preserve">implementación del esquema de metas de inflación, la tasa de inflación</w:t>
      </w:r>
      <w:r>
        <w:t xml:space="preserve"> </w:t>
      </w:r>
      <w:r>
        <w:t xml:space="preserve">se estabilizó en niveles bajos y controlados: 1.52% en 2002, 2.48% en</w:t>
      </w:r>
      <w:r>
        <w:t xml:space="preserve"> </w:t>
      </w:r>
      <w:r>
        <w:t xml:space="preserve">2003, 3.48% en 2004, 1.5% en 2005, 2.0% en 2006, 1.1% en 2007, 6.65% en</w:t>
      </w:r>
      <w:r>
        <w:t xml:space="preserve"> </w:t>
      </w:r>
      <w:r>
        <w:t xml:space="preserve">2008 (afectada por la crisis alimentaria mundial), 0.25% en 2009 y 2.08%</w:t>
      </w:r>
      <w:r>
        <w:t xml:space="preserve"> </w:t>
      </w:r>
      <w:r>
        <w:t xml:space="preserve">en 2010. El promedio anual de inflación durante esta década fue de 2.5%,</w:t>
      </w:r>
      <w:r>
        <w:t xml:space="preserve"> </w:t>
      </w:r>
      <w:r>
        <w:t xml:space="preserve">la más baja desde la década de 1960. Este logro fue posible gracias a la</w:t>
      </w:r>
      <w:r>
        <w:t xml:space="preserve"> </w:t>
      </w:r>
      <w:r>
        <w:t xml:space="preserve">credibilidad ganada por el BCRP en la implementación de su política</w:t>
      </w:r>
      <w:r>
        <w:t xml:space="preserve"> </w:t>
      </w:r>
      <w:r>
        <w:t xml:space="preserve">monetaria, la disciplina fiscal mantenida por el gobierno y un contexto</w:t>
      </w:r>
      <w:r>
        <w:t xml:space="preserve"> </w:t>
      </w:r>
      <w:r>
        <w:t xml:space="preserve">internacional favorable de crecimiento económico y precios estables de</w:t>
      </w:r>
      <w:r>
        <w:t xml:space="preserve"> </w:t>
      </w:r>
      <w:r>
        <w:t xml:space="preserve">commodities.</w:t>
      </w:r>
    </w:p>
    <w:bookmarkEnd w:id="51"/>
    <w:bookmarkStart w:id="53" w:name="X17f87cc2789965645b589a1b4ebbbe66d82badc"/>
    <w:p>
      <w:pPr>
        <w:pStyle w:val="Heading2"/>
      </w:pPr>
      <w:r>
        <w:t xml:space="preserve">5.5 Período 2010-2017: Metas de Inflación y Volatilidad</w:t>
      </w:r>
    </w:p>
    <w:p>
      <w:pPr>
        <w:pStyle w:val="FirstParagraph"/>
      </w:pPr>
      <w:r>
        <w:t xml:space="preserve">Durante el período 2010-2017, el Perú continuó con su régimen de metas</w:t>
      </w:r>
      <w:r>
        <w:t xml:space="preserve"> </w:t>
      </w:r>
      <w:r>
        <w:t xml:space="preserve">de inflación, logrando mantener tasas de inflación bajas y estables,</w:t>
      </w:r>
      <w:r>
        <w:t xml:space="preserve"> </w:t>
      </w:r>
      <w:r>
        <w:t xml:space="preserve">aunque con algunas fluctuaciones debido a factores externos. En 2010, la</w:t>
      </w:r>
      <w:r>
        <w:t xml:space="preserve"> </w:t>
      </w:r>
      <w:r>
        <w:t xml:space="preserve">tasa de inflación fue de 2.08%, influenciada por el aumento de las</w:t>
      </w:r>
      <w:r>
        <w:t xml:space="preserve"> </w:t>
      </w:r>
      <w:r>
        <w:t xml:space="preserve">cotizaciones internacionales de algunos alimentos y combustibles, así</w:t>
      </w:r>
      <w:r>
        <w:t xml:space="preserve"> </w:t>
      </w:r>
      <w:r>
        <w:t xml:space="preserve">como por condiciones climatológicas adversas que afectaron los precios</w:t>
      </w:r>
      <w:r>
        <w:t xml:space="preserve"> </w:t>
      </w:r>
      <w:r>
        <w:t xml:space="preserve">de algunos productos. En 2011, la inflación aumentó a 4.74%, explicada</w:t>
      </w:r>
      <w:r>
        <w:t xml:space="preserve"> </w:t>
      </w:r>
      <w:r>
        <w:t xml:space="preserve">tanto por choques externos (aumento de precios internacionales de</w:t>
      </w:r>
      <w:r>
        <w:t xml:space="preserve"> </w:t>
      </w:r>
      <w:r>
        <w:t xml:space="preserve">commodities) como internos (anomalías climatológicas que afectaron la</w:t>
      </w:r>
      <w:r>
        <w:t xml:space="preserve"> </w:t>
      </w:r>
      <w:r>
        <w:t xml:space="preserve">oferta de productos agrícolas). Sin embargo, en los años siguientes, la</w:t>
      </w:r>
      <w:r>
        <w:t xml:space="preserve"> </w:t>
      </w:r>
      <w:r>
        <w:t xml:space="preserve">inflación se redujo gradualmente, ubicándose en 2.65% en 2012 y 2.86% en</w:t>
      </w:r>
      <w:r>
        <w:t xml:space="preserve"> </w:t>
      </w:r>
      <w:r>
        <w:t xml:space="preserve">2013. En 2014, la inflación fue de 3.22%, y en 2015, se aceleró a 4.4%,</w:t>
      </w:r>
      <w:r>
        <w:t xml:space="preserve"> </w:t>
      </w:r>
      <w:r>
        <w:t xml:space="preserve">reflejando principalmente alzas en los precios de alimentos, tarifas</w:t>
      </w:r>
      <w:r>
        <w:t xml:space="preserve"> </w:t>
      </w:r>
      <w:r>
        <w:t xml:space="preserve">eléctricas y de los rubros vinculados al tipo de cambio. A pesar de</w:t>
      </w:r>
      <w:r>
        <w:t xml:space="preserve"> </w:t>
      </w:r>
      <w:r>
        <w:t xml:space="preserve">estas fluctuaciones, la inflación se mantuvo dentro del rango meta</w:t>
      </w:r>
      <w:r>
        <w:t xml:space="preserve"> </w:t>
      </w:r>
      <w:r>
        <w:t xml:space="preserve">establecido por el BCRP, que para este período era de 1% a 3%. La</w:t>
      </w:r>
      <w:r>
        <w:t xml:space="preserve"> </w:t>
      </w:r>
      <w:r>
        <w:t xml:space="preserve">capacidad del BCRP para mantener la inflación baja y estable, a pesar de</w:t>
      </w:r>
      <w:r>
        <w:t xml:space="preserve"> </w:t>
      </w:r>
      <w:r>
        <w:t xml:space="preserve">los choques de oferta externos e internos, demostró la efectividad del</w:t>
      </w:r>
      <w:r>
        <w:t xml:space="preserve"> </w:t>
      </w:r>
      <w:r>
        <w:t xml:space="preserve">régimen de metas de inflación y la credibilidad de la política</w:t>
      </w:r>
      <w:r>
        <w:t xml:space="preserve"> </w:t>
      </w:r>
      <w:r>
        <w:t xml:space="preserve">monetaria. En el período 2003-2012, la tasa de inflación anual promedio</w:t>
      </w:r>
      <w:r>
        <w:t xml:space="preserve"> </w:t>
      </w:r>
      <w:r>
        <w:t xml:space="preserve">fue de 2.9%, la más baja de América Latina, lo que consolidó al Perú</w:t>
      </w:r>
      <w:r>
        <w:t xml:space="preserve"> </w:t>
      </w:r>
      <w:r>
        <w:t xml:space="preserve">como un país con una de las mejores trayectorias de estabilidad de</w:t>
      </w:r>
      <w:r>
        <w:t xml:space="preserve"> </w:t>
      </w:r>
      <w:r>
        <w:t xml:space="preserve">precios en la región.</w:t>
      </w:r>
    </w:p>
    <w:bookmarkStart w:id="52" w:name="período-de-metas-de-inflación-2011-2017"/>
    <w:p>
      <w:pPr>
        <w:pStyle w:val="Heading3"/>
      </w:pPr>
      <w:r>
        <w:t xml:space="preserve">5.5.1 Período de Metas de Inflación (2011-2017)</w:t>
      </w:r>
    </w:p>
    <w:p>
      <w:pPr>
        <w:pStyle w:val="FirstParagraph"/>
      </w:pPr>
      <w:r>
        <w:t xml:space="preserve">Durante el período 2011-2017, el Perú continuó operando bajo el esquema</w:t>
      </w:r>
      <w:r>
        <w:t xml:space="preserve"> </w:t>
      </w:r>
      <w:r>
        <w:t xml:space="preserve">de Metas Explícitas de Inflación, aunque con cierta volatilidad. En</w:t>
      </w:r>
      <w:r>
        <w:t xml:space="preserve"> </w:t>
      </w:r>
      <w:r>
        <w:t xml:space="preserve">2011, la inflación se aceleró a 4.74% debido al alza de precios</w:t>
      </w:r>
      <w:r>
        <w:t xml:space="preserve"> </w:t>
      </w:r>
      <w:r>
        <w:t xml:space="preserve">internacionales de commodities y anomalías climáticas que afectaron la</w:t>
      </w:r>
      <w:r>
        <w:t xml:space="preserve"> </w:t>
      </w:r>
      <w:r>
        <w:t xml:space="preserve">oferta de alimentos . En los años siguientes, la inflación se moderó,</w:t>
      </w:r>
      <w:r>
        <w:t xml:space="preserve"> </w:t>
      </w:r>
      <w:r>
        <w:t xml:space="preserve">ubicándose en 2.6% en 2012, 2.9% en 2013, 3.2% en 2014 y 4.4% en 2015.</w:t>
      </w:r>
      <w:r>
        <w:t xml:space="preserve"> </w:t>
      </w:r>
      <w:r>
        <w:t xml:space="preserve">En 2016, la tasa fue de 3.2%, y en 2017 cerró en un bajo 1.4%, el nivel</w:t>
      </w:r>
      <w:r>
        <w:t xml:space="preserve"> </w:t>
      </w:r>
      <w:r>
        <w:t xml:space="preserve">más bajo desde 2009 . Este resultado se explicó por la reversión de</w:t>
      </w:r>
      <w:r>
        <w:t xml:space="preserve"> </w:t>
      </w:r>
      <w:r>
        <w:t xml:space="preserve">choques de oferta en productos agrícolas y condiciones climáticas</w:t>
      </w:r>
      <w:r>
        <w:t xml:space="preserve"> </w:t>
      </w:r>
      <w:r>
        <w:t xml:space="preserve">favorables. El BCRP desempeñó un papel crucial durante este período,</w:t>
      </w:r>
      <w:r>
        <w:t xml:space="preserve"> </w:t>
      </w:r>
      <w:r>
        <w:t xml:space="preserve">utilizando la tasa de interés de referencia y otras herramientas de</w:t>
      </w:r>
      <w:r>
        <w:t xml:space="preserve"> </w:t>
      </w:r>
      <w:r>
        <w:t xml:space="preserve">política monetaria para mantener la inflación anclada a la meta,</w:t>
      </w:r>
      <w:r>
        <w:t xml:space="preserve"> </w:t>
      </w:r>
      <w:r>
        <w:t xml:space="preserve">demostrando la madurez del marco de política monetaria implementado.</w:t>
      </w:r>
    </w:p>
    <w:bookmarkEnd w:id="52"/>
    <w:bookmarkEnd w:id="53"/>
    <w:bookmarkEnd w:id="54"/>
    <w:bookmarkStart w:id="55" w:name="conclusiones"/>
    <w:p>
      <w:pPr>
        <w:pStyle w:val="Heading1"/>
      </w:pPr>
      <w:r>
        <w:t xml:space="preserve">6. Conclusiones</w:t>
      </w:r>
    </w:p>
    <w:p>
      <w:pPr>
        <w:pStyle w:val="FirstParagraph"/>
      </w:pPr>
      <w:r>
        <w:t xml:space="preserve">El análisis del comportamiento de la inflación en el Perú durante el</w:t>
      </w:r>
      <w:r>
        <w:t xml:space="preserve"> </w:t>
      </w:r>
      <w:r>
        <w:t xml:space="preserve">período 1980-2017 permite identificar tres grandes etapas claramente</w:t>
      </w:r>
      <w:r>
        <w:t xml:space="preserve"> </w:t>
      </w:r>
      <w:r>
        <w:t xml:space="preserve">diferenciadas. La primera, de 1980 a 1990, se caracterizó por una crisis</w:t>
      </w:r>
      <w:r>
        <w:t xml:space="preserve"> </w:t>
      </w:r>
      <w:r>
        <w:t xml:space="preserve">inflacionaria de proporciones históricas, con tasas de hiperinflación</w:t>
      </w:r>
      <w:r>
        <w:t xml:space="preserve"> </w:t>
      </w:r>
      <w:r>
        <w:t xml:space="preserve">que alcanzaron el</w:t>
      </w:r>
      <w:r>
        <w:t xml:space="preserve"> </w:t>
      </w:r>
      <w:r>
        <w:rPr>
          <w:b/>
          <w:bCs/>
        </w:rPr>
        <w:t xml:space="preserve">7,650% anual en 1990</w:t>
      </w:r>
      <w:r>
        <w:t xml:space="preserve">, destruyendo el valor de la</w:t>
      </w:r>
      <w:r>
        <w:t xml:space="preserve"> </w:t>
      </w:r>
      <w:r>
        <w:t xml:space="preserve">moneda y empobreciendo a la población. La segunda etapa, de 1991 a 2002,</w:t>
      </w:r>
      <w:r>
        <w:t xml:space="preserve"> </w:t>
      </w:r>
      <w:r>
        <w:t xml:space="preserve">fue un período de transición y estabilización, donde la implementación</w:t>
      </w:r>
      <w:r>
        <w:t xml:space="preserve"> </w:t>
      </w:r>
      <w:r>
        <w:t xml:space="preserve">de reformas estructurales y políticas monetarias y fiscales más</w:t>
      </w:r>
      <w:r>
        <w:t xml:space="preserve"> </w:t>
      </w:r>
      <w:r>
        <w:t xml:space="preserve">disciplinadas permitió reducir drásticamente la inflación. Finalmente,</w:t>
      </w:r>
      <w:r>
        <w:t xml:space="preserve"> </w:t>
      </w:r>
      <w:r>
        <w:t xml:space="preserve">la tercera etapa, de 2003 a 2017, se caracterizó por la consolidación de</w:t>
      </w:r>
      <w:r>
        <w:t xml:space="preserve"> </w:t>
      </w:r>
      <w:r>
        <w:t xml:space="preserve">la baja inflación, gracias a la implementación del esquema de Metas</w:t>
      </w:r>
      <w:r>
        <w:t xml:space="preserve"> </w:t>
      </w:r>
      <w:r>
        <w:t xml:space="preserve">Explícitas de Inflación, que ha permitido mantener la inflación dentro</w:t>
      </w:r>
      <w:r>
        <w:t xml:space="preserve"> </w:t>
      </w:r>
      <w:r>
        <w:t xml:space="preserve">de rangos moderados y estables.</w:t>
      </w:r>
    </w:p>
    <w:p>
      <w:pPr>
        <w:pStyle w:val="BodyText"/>
      </w:pPr>
      <w:r>
        <w:t xml:space="preserve">Los factores determinantes de la inflación peruana han sido tanto</w:t>
      </w:r>
      <w:r>
        <w:t xml:space="preserve"> </w:t>
      </w:r>
      <w:r>
        <w:t xml:space="preserve">internos como externos. Entre los factores internos, destacan la</w:t>
      </w:r>
      <w:r>
        <w:t xml:space="preserve"> </w:t>
      </w:r>
      <w:r>
        <w:t xml:space="preserve">política fiscal expansiva, el financiamiento monetario del déficit</w:t>
      </w:r>
      <w:r>
        <w:t xml:space="preserve"> </w:t>
      </w:r>
      <w:r>
        <w:t xml:space="preserve">público, la devaluación de la moneda y los choques de oferta en el</w:t>
      </w:r>
      <w:r>
        <w:t xml:space="preserve"> </w:t>
      </w:r>
      <w:r>
        <w:t xml:space="preserve">sector agrícola. Entre los factores externos, la volatilidad de los</w:t>
      </w:r>
      <w:r>
        <w:t xml:space="preserve"> </w:t>
      </w:r>
      <w:r>
        <w:t xml:space="preserve">precios internacionales de los commodities, especialmente el petróleo y</w:t>
      </w:r>
      <w:r>
        <w:t xml:space="preserve"> </w:t>
      </w:r>
      <w:r>
        <w:t xml:space="preserve">los alimentos, ha sido un determinante clave de la inflación en el Perú.</w:t>
      </w:r>
      <w:r>
        <w:t xml:space="preserve"> </w:t>
      </w:r>
      <w:r>
        <w:t xml:space="preserve">La experiencia del país demuestra que la credibilidad de las</w:t>
      </w:r>
      <w:r>
        <w:t xml:space="preserve"> </w:t>
      </w:r>
      <w:r>
        <w:t xml:space="preserve">instituciones económicas, especialmente del Banco Central, es</w:t>
      </w:r>
      <w:r>
        <w:t xml:space="preserve"> </w:t>
      </w:r>
      <w:r>
        <w:t xml:space="preserve">fundamental para anclar las expectativas inflacionarias y mantener la</w:t>
      </w:r>
      <w:r>
        <w:t xml:space="preserve"> </w:t>
      </w:r>
      <w:r>
        <w:t xml:space="preserve">estabilidad de precios.</w:t>
      </w:r>
    </w:p>
    <w:bookmarkEnd w:id="55"/>
    <w:bookmarkStart w:id="56" w:name="recomendaciones"/>
    <w:p>
      <w:pPr>
        <w:pStyle w:val="Heading1"/>
      </w:pPr>
      <w:r>
        <w:t xml:space="preserve">7. Recomendaciones</w:t>
      </w:r>
    </w:p>
    <w:p>
      <w:pPr>
        <w:pStyle w:val="FirstParagraph"/>
      </w:pPr>
      <w:r>
        <w:t xml:space="preserve">Con base en el análisis realizado, se proponen las siguientes</w:t>
      </w:r>
      <w:r>
        <w:t xml:space="preserve"> </w:t>
      </w:r>
      <w:r>
        <w:t xml:space="preserve">recomendaciones de política económica para mantener la estabilidad de</w:t>
      </w:r>
      <w:r>
        <w:t xml:space="preserve"> </w:t>
      </w:r>
      <w:r>
        <w:t xml:space="preserve">precios en el Perú: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Mantener la disciplina fiscal:</w:t>
      </w:r>
      <w:r>
        <w:t xml:space="preserve"> </w:t>
      </w:r>
      <w:r>
        <w:t xml:space="preserve">Es fundamental que el gobierno</w:t>
      </w:r>
      <w:r>
        <w:t xml:space="preserve"> </w:t>
      </w:r>
      <w:r>
        <w:t xml:space="preserve">mantenga un equilibrio entre sus ingresos y gastos, evitando el</w:t>
      </w:r>
      <w:r>
        <w:t xml:space="preserve"> </w:t>
      </w:r>
      <w:r>
        <w:t xml:space="preserve">financiamiento del déficit público mediante la emisión de moneda.</w:t>
      </w:r>
      <w:r>
        <w:t xml:space="preserve"> </w:t>
      </w:r>
      <w:r>
        <w:t xml:space="preserve">Una política fiscal prudente es un pilar fundamental para la</w:t>
      </w:r>
      <w:r>
        <w:t xml:space="preserve"> </w:t>
      </w:r>
      <w:r>
        <w:t xml:space="preserve">estabilidad macroeconómica.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Fortalecer la independencia del Banco Central:</w:t>
      </w:r>
      <w:r>
        <w:t xml:space="preserve"> </w:t>
      </w:r>
      <w:r>
        <w:t xml:space="preserve">La autonomía del</w:t>
      </w:r>
      <w:r>
        <w:t xml:space="preserve"> </w:t>
      </w:r>
      <w:r>
        <w:t xml:space="preserve">BCRP debe ser preservada y fortalecida, para que pueda implementar</w:t>
      </w:r>
      <w:r>
        <w:t xml:space="preserve"> </w:t>
      </w:r>
      <w:r>
        <w:t xml:space="preserve">una política monetaria coherente y efectiva, sin presiones políticas</w:t>
      </w:r>
      <w:r>
        <w:t xml:space="preserve"> </w:t>
      </w:r>
      <w:r>
        <w:t xml:space="preserve">de corto plazo.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Continuar con el esquema de Metas Explícitas de Inflación:</w:t>
      </w:r>
      <w:r>
        <w:t xml:space="preserve"> </w:t>
      </w:r>
      <w:r>
        <w:t xml:space="preserve">El</w:t>
      </w:r>
      <w:r>
        <w:t xml:space="preserve"> </w:t>
      </w:r>
      <w:r>
        <w:t xml:space="preserve">régimen de metas de inflación ha demostrado ser efectivo para</w:t>
      </w:r>
      <w:r>
        <w:t xml:space="preserve"> </w:t>
      </w:r>
      <w:r>
        <w:t xml:space="preserve">mantener la inflación bajo control. Es importante continuar con este</w:t>
      </w:r>
      <w:r>
        <w:t xml:space="preserve"> </w:t>
      </w:r>
      <w:r>
        <w:t xml:space="preserve">esquema, asegurando la transparencia y la comunicación clara de las</w:t>
      </w:r>
      <w:r>
        <w:t xml:space="preserve"> </w:t>
      </w:r>
      <w:r>
        <w:t xml:space="preserve">decisiones de política monetaria.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Desarrollar el mercado interno de alimentos:</w:t>
      </w:r>
      <w:r>
        <w:t xml:space="preserve"> </w:t>
      </w:r>
      <w:r>
        <w:t xml:space="preserve">Para reducir la</w:t>
      </w:r>
      <w:r>
        <w:t xml:space="preserve"> </w:t>
      </w:r>
      <w:r>
        <w:t xml:space="preserve">vulnerabilidad de la inflación a los choques de oferta agrícola, es</w:t>
      </w:r>
      <w:r>
        <w:t xml:space="preserve"> </w:t>
      </w:r>
      <w:r>
        <w:t xml:space="preserve">necesario desarrollar el mercado interno de alimentos, mejorando la</w:t>
      </w:r>
      <w:r>
        <w:t xml:space="preserve"> </w:t>
      </w:r>
      <w:r>
        <w:t xml:space="preserve">infraestructura de transporte y almacenamiento, y promoviendo la</w:t>
      </w:r>
      <w:r>
        <w:t xml:space="preserve"> </w:t>
      </w:r>
      <w:r>
        <w:t xml:space="preserve">competencia en el sector.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Diversificar la economía:</w:t>
      </w:r>
      <w:r>
        <w:t xml:space="preserve"> </w:t>
      </w:r>
      <w:r>
        <w:t xml:space="preserve">La dependencia del Perú de las</w:t>
      </w:r>
      <w:r>
        <w:t xml:space="preserve"> </w:t>
      </w:r>
      <w:r>
        <w:t xml:space="preserve">exportaciones de commodities lo hace vulnerable a las fluctuaciones</w:t>
      </w:r>
      <w:r>
        <w:t xml:space="preserve"> </w:t>
      </w:r>
      <w:r>
        <w:t xml:space="preserve">de los precios internacionales. Es necesario diversificar la</w:t>
      </w:r>
      <w:r>
        <w:t xml:space="preserve"> </w:t>
      </w:r>
      <w:r>
        <w:t xml:space="preserve">economía, promoviendo el desarrollo de sectores productivos con</w:t>
      </w:r>
      <w:r>
        <w:t xml:space="preserve"> </w:t>
      </w:r>
      <w:r>
        <w:t xml:space="preserve">mayor valor agregado.</w:t>
      </w:r>
    </w:p>
    <w:bookmarkEnd w:id="56"/>
    <w:bookmarkStart w:id="57" w:name="perspectivas-futuras"/>
    <w:p>
      <w:pPr>
        <w:pStyle w:val="Heading1"/>
      </w:pPr>
      <w:r>
        <w:t xml:space="preserve">8. Perspectivas Futuras</w:t>
      </w:r>
    </w:p>
    <w:p>
      <w:pPr>
        <w:pStyle w:val="FirstParagraph"/>
      </w:pPr>
      <w:r>
        <w:t xml:space="preserve">Las perspectivas futuras para la inflación en el Perú dependen de una</w:t>
      </w:r>
      <w:r>
        <w:t xml:space="preserve"> </w:t>
      </w:r>
      <w:r>
        <w:t xml:space="preserve">combinación de factores internos y externos. En el plano interno, la</w:t>
      </w:r>
      <w:r>
        <w:t xml:space="preserve"> </w:t>
      </w:r>
      <w:r>
        <w:t xml:space="preserve">consolidación de las instituciones económicas y la continuidad de</w:t>
      </w:r>
      <w:r>
        <w:t xml:space="preserve"> </w:t>
      </w:r>
      <w:r>
        <w:t xml:space="preserve">políticas fiscales y monetarias prudentes son fundamentales para</w:t>
      </w:r>
      <w:r>
        <w:t xml:space="preserve"> </w:t>
      </w:r>
      <w:r>
        <w:t xml:space="preserve">mantener la estabilidad de precios. El fortalecimiento del marco de</w:t>
      </w:r>
      <w:r>
        <w:t xml:space="preserve"> </w:t>
      </w:r>
      <w:r>
        <w:t xml:space="preserve">política monetaria y la mejora en la coordinación entre las políticas</w:t>
      </w:r>
      <w:r>
        <w:t xml:space="preserve"> </w:t>
      </w:r>
      <w:r>
        <w:t xml:space="preserve">fiscal y monetaria serán claves para enfrentar los desafíos futuros.</w:t>
      </w:r>
    </w:p>
    <w:p>
      <w:pPr>
        <w:pStyle w:val="BodyText"/>
      </w:pPr>
      <w:r>
        <w:t xml:space="preserve">En el plano externo, la volatilidad de los precios de los commodities</w:t>
      </w:r>
      <w:r>
        <w:t xml:space="preserve"> </w:t>
      </w:r>
      <w:r>
        <w:t xml:space="preserve">seguirá siendo un factor de riesgo para la inflación peruana. El cambio</w:t>
      </w:r>
      <w:r>
        <w:t xml:space="preserve"> </w:t>
      </w:r>
      <w:r>
        <w:t xml:space="preserve">climático y la mayor frecuencia de fenómenos climáticos extremos podrían</w:t>
      </w:r>
      <w:r>
        <w:t xml:space="preserve"> </w:t>
      </w:r>
      <w:r>
        <w:t xml:space="preserve">afectar la oferta de alimentos y generar presiones inflacionarias.</w:t>
      </w:r>
      <w:r>
        <w:t xml:space="preserve"> </w:t>
      </w:r>
      <w:r>
        <w:t xml:space="preserve">Asimismo, las condiciones de la economía global, incluyendo las tasas de</w:t>
      </w:r>
      <w:r>
        <w:t xml:space="preserve"> </w:t>
      </w:r>
      <w:r>
        <w:t xml:space="preserve">interés de los países desarrollados y la demanda de los principales</w:t>
      </w:r>
      <w:r>
        <w:t xml:space="preserve"> </w:t>
      </w:r>
      <w:r>
        <w:t xml:space="preserve">socios comerciales del Perú, también influirán en la evolución de la</w:t>
      </w:r>
      <w:r>
        <w:t xml:space="preserve"> </w:t>
      </w:r>
      <w:r>
        <w:t xml:space="preserve">inflación.</w:t>
      </w:r>
    </w:p>
    <w:bookmarkEnd w:id="57"/>
    <w:bookmarkStart w:id="58" w:name="referencias-bibliográficas"/>
    <w:p>
      <w:pPr>
        <w:pStyle w:val="Heading1"/>
      </w:pPr>
      <w:r>
        <w:t xml:space="preserve">9. Referencias Bibliográficas</w:t>
      </w:r>
    </w:p>
    <w:p>
      <w:pPr>
        <w:pStyle w:val="Compact"/>
        <w:numPr>
          <w:ilvl w:val="0"/>
          <w:numId w:val="1007"/>
        </w:numPr>
      </w:pPr>
      <w:r>
        <w:t xml:space="preserve">Banco Central de Reserva del Perú. (s.f.).</w:t>
      </w:r>
      <w:r>
        <w:t xml:space="preserve"> </w:t>
      </w:r>
      <w:r>
        <w:rPr>
          <w:i/>
          <w:iCs/>
        </w:rPr>
        <w:t xml:space="preserve">Memorias</w:t>
      </w:r>
      <w:r>
        <w:t xml:space="preserve">. Recuperado de</w:t>
      </w:r>
      <w:r>
        <w:t xml:space="preserve"> </w:t>
      </w:r>
      <w:r>
        <w:t xml:space="preserve">http://www.bcrp.gob.pe/publicaciones/memoria-anual.html</w:t>
      </w:r>
    </w:p>
    <w:p>
      <w:pPr>
        <w:pStyle w:val="Compact"/>
        <w:numPr>
          <w:ilvl w:val="0"/>
          <w:numId w:val="1007"/>
        </w:numPr>
      </w:pPr>
      <w:r>
        <w:t xml:space="preserve">Jiménez, F. (2006).</w:t>
      </w:r>
      <w:r>
        <w:t xml:space="preserve"> </w:t>
      </w:r>
      <w:r>
        <w:rPr>
          <w:i/>
          <w:iCs/>
        </w:rPr>
        <w:t xml:space="preserve">Macroeconomía. Enfoques y modelos. (Tomo I)</w:t>
      </w:r>
      <w:r>
        <w:t xml:space="preserve">.</w:t>
      </w:r>
      <w:r>
        <w:t xml:space="preserve"> </w:t>
      </w:r>
      <w:r>
        <w:t xml:space="preserve">Lima: Pontificia Universidad Católica del Perú.</w:t>
      </w:r>
    </w:p>
    <w:p>
      <w:pPr>
        <w:pStyle w:val="Compact"/>
        <w:numPr>
          <w:ilvl w:val="0"/>
          <w:numId w:val="1007"/>
        </w:numPr>
      </w:pPr>
      <w:r>
        <w:t xml:space="preserve">Le Roy, M. R. (2001).</w:t>
      </w:r>
      <w:r>
        <w:t xml:space="preserve"> </w:t>
      </w:r>
      <w:r>
        <w:rPr>
          <w:i/>
          <w:iCs/>
        </w:rPr>
        <w:t xml:space="preserve">Macroeconomía Moderna</w:t>
      </w:r>
      <w:r>
        <w:t xml:space="preserve"> </w:t>
      </w:r>
      <w:r>
        <w:t xml:space="preserve">(7ma. Ed.). México: Mc</w:t>
      </w:r>
      <w:r>
        <w:t xml:space="preserve"> </w:t>
      </w:r>
      <w:r>
        <w:t xml:space="preserve">Graw-Hill.</w:t>
      </w:r>
    </w:p>
    <w:p>
      <w:r>
        <w:br w:type="page"/>
      </w:r>
    </w:p>
    <w:bookmarkEnd w:id="58"/>
    <w:p>
      <w:pPr>
        <w:pStyle w:val="Heading1"/>
      </w:pPr>
      <w:r>
        <w:t xml:space="preserve">10. Anexo</w:t>
      </w:r>
    </w:p>
    <w:bookmarkStart w:id="63" w:name="apx-anexos"/>
    <w:p>
      <w:pPr>
        <w:pStyle w:val="Heading1"/>
      </w:pPr>
      <w:r>
        <w:t xml:space="preserve">11. Anexos</w:t>
      </w:r>
    </w:p>
    <w:bookmarkStart w:id="59" w:name="Xe36feb6b888899657dfc2a39b64ff31b7ca1d3f"/>
    <w:p>
      <w:pPr>
        <w:pStyle w:val="Heading2"/>
      </w:pPr>
      <w:r>
        <w:t xml:space="preserve">11.1 Anexo Estadístico: Tablas de Datos de Inflación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Año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Inflación Anual (%)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Gobierno de Turno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59.2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Fernando Belaunde Terry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1981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Fernando Belaunde Terry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1982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Fernando Belaunde Terry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1983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125.1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Fernando Belaunde Terry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1984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Fernando Belaunde Terry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158.3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Alan García Pérez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1986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Alan García Pérez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114.5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Alan García Pérez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1988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1,722.3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Alan García Pérez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1989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2,775.0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Alan García Pérez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7,650.0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Alan García Pérez / Alberto Fujimori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139.2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Alberto Fujimori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Alberto Fujimori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Alberto Fujimori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Alberto Fujimori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Alberto Fujimori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Alberto Fujimori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Alberto Fujimori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Alberto Fujimori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Alberto Fujimori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Alberto Fujimori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Valentín Paniagua / Alejandro Toledo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Alejandro Toledo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Alejandro Toledo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Alejandro Toledo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Alejandro Toledo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Alejandro Toledo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Alan García Pérez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Alan García Pérez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Alan García Pérez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Alan García Pérez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Ollanta Humala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Ollanta Humala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Ollanta Humala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Ollanta Humala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Ollanta Humala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Pedro Pablo Kuczynski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Pedro Pablo Kuczynski</w:t>
            </w:r>
          </w:p>
        </w:tc>
      </w:tr>
    </w:tbl>
    <w:p>
      <w:pPr>
        <w:pStyle w:val="BodyText"/>
      </w:pPr>
      <w:r>
        <w:rPr>
          <w:i/>
          <w:iCs/>
        </w:rPr>
        <w:t xml:space="preserve">Fuente: Elaboración propia con datos del BCRP e INEI.</w:t>
      </w:r>
    </w:p>
    <w:bookmarkEnd w:id="59"/>
    <w:bookmarkStart w:id="62" w:name="Xdfbb1da3d65ede9f81d708374dfd6b50eeb0ebe"/>
    <w:p>
      <w:pPr>
        <w:pStyle w:val="Heading2"/>
      </w:pPr>
      <w:r>
        <w:t xml:space="preserve">11.2 Anexo Metodológico: Fuentes de Información y Metodología de Cálculo del IPC</w:t>
      </w:r>
    </w:p>
    <w:bookmarkStart w:id="60" w:name="fuentes-de-información"/>
    <w:p>
      <w:pPr>
        <w:pStyle w:val="Heading3"/>
      </w:pPr>
      <w:r>
        <w:t xml:space="preserve">11.2.1 Fuentes de Información</w:t>
      </w:r>
    </w:p>
    <w:p>
      <w:pPr>
        <w:pStyle w:val="FirstParagraph"/>
      </w:pPr>
      <w:r>
        <w:t xml:space="preserve">Los datos estadísticos utilizados en esta monografía provienen de</w:t>
      </w:r>
      <w:r>
        <w:t xml:space="preserve"> </w:t>
      </w:r>
      <w:r>
        <w:t xml:space="preserve">fuentes oficiales y confiables, principalmente del</w:t>
      </w:r>
      <w:r>
        <w:t xml:space="preserve"> </w:t>
      </w:r>
      <w:r>
        <w:rPr>
          <w:b/>
          <w:bCs/>
        </w:rPr>
        <w:t xml:space="preserve">Banco Central de</w:t>
      </w:r>
      <w:r>
        <w:rPr>
          <w:b/>
          <w:bCs/>
        </w:rPr>
        <w:t xml:space="preserve"> </w:t>
      </w:r>
      <w:r>
        <w:rPr>
          <w:b/>
          <w:bCs/>
        </w:rPr>
        <w:t xml:space="preserve">Reserva del Perú (BCRP)</w:t>
      </w:r>
      <w:r>
        <w:t xml:space="preserve"> </w:t>
      </w:r>
      <w:r>
        <w:t xml:space="preserve">y del</w:t>
      </w:r>
      <w:r>
        <w:t xml:space="preserve"> </w:t>
      </w:r>
      <w:r>
        <w:rPr>
          <w:b/>
          <w:bCs/>
        </w:rPr>
        <w:t xml:space="preserve">Instituto Nacional de Estadística e</w:t>
      </w:r>
      <w:r>
        <w:rPr>
          <w:b/>
          <w:bCs/>
        </w:rPr>
        <w:t xml:space="preserve"> </w:t>
      </w:r>
      <w:r>
        <w:rPr>
          <w:b/>
          <w:bCs/>
        </w:rPr>
        <w:t xml:space="preserve">Informática (INEI)</w:t>
      </w:r>
      <w:r>
        <w:t xml:space="preserve"> </w:t>
      </w:r>
      <w:r>
        <w:t xml:space="preserve">. Estas instituciones son responsables de la</w:t>
      </w:r>
      <w:r>
        <w:t xml:space="preserve"> </w:t>
      </w:r>
      <w:r>
        <w:t xml:space="preserve">elaboración y publicación de las estadísticas económicas del país,</w:t>
      </w:r>
      <w:r>
        <w:t xml:space="preserve"> </w:t>
      </w:r>
      <w:r>
        <w:t xml:space="preserve">incluyendo el Índice de Precios al Consumidor (IPC), que es el indicador</w:t>
      </w:r>
      <w:r>
        <w:t xml:space="preserve"> </w:t>
      </w:r>
      <w:r>
        <w:t xml:space="preserve">oficial de medición de la inflación.</w:t>
      </w:r>
    </w:p>
    <w:bookmarkEnd w:id="60"/>
    <w:bookmarkStart w:id="61" w:name="metodología-de-cálculo-del-ipc"/>
    <w:p>
      <w:pPr>
        <w:pStyle w:val="Heading3"/>
      </w:pPr>
      <w:r>
        <w:t xml:space="preserve">11.2.2 Metodología de Cálculo del IPC</w:t>
      </w:r>
    </w:p>
    <w:p>
      <w:pPr>
        <w:pStyle w:val="FirstParagraph"/>
      </w:pPr>
      <w:r>
        <w:t xml:space="preserve">El IPC es un indicador estadístico que mide la variación promedio de los</w:t>
      </w:r>
      <w:r>
        <w:t xml:space="preserve"> </w:t>
      </w:r>
      <w:r>
        <w:t xml:space="preserve">precios de una canasta de bienes y servicios representativa del consumo</w:t>
      </w:r>
      <w:r>
        <w:t xml:space="preserve"> </w:t>
      </w:r>
      <w:r>
        <w:t xml:space="preserve">de los hogares. La metodología de cálculo del IPC en el Perú se basa en</w:t>
      </w:r>
      <w:r>
        <w:t xml:space="preserve"> </w:t>
      </w:r>
      <w:r>
        <w:t xml:space="preserve">las siguientes etapas: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Selección de la canasta de consumo:</w:t>
      </w:r>
      <w:r>
        <w:t xml:space="preserve"> </w:t>
      </w:r>
      <w:r>
        <w:t xml:space="preserve">Se selecciona una canasta de</w:t>
      </w:r>
      <w:r>
        <w:t xml:space="preserve"> </w:t>
      </w:r>
      <w:r>
        <w:t xml:space="preserve">bienes y servicios que represente el patrón de consumo de los</w:t>
      </w:r>
      <w:r>
        <w:t xml:space="preserve"> </w:t>
      </w:r>
      <w:r>
        <w:t xml:space="preserve">hogares en Lima Metropolitana. Esta canasta se actualiza</w:t>
      </w:r>
      <w:r>
        <w:t xml:space="preserve"> </w:t>
      </w:r>
      <w:r>
        <w:t xml:space="preserve">periódicamente para reflejar los cambios en los hábitos de consumo.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Asignación de ponderaciones:</w:t>
      </w:r>
      <w:r>
        <w:t xml:space="preserve"> </w:t>
      </w:r>
      <w:r>
        <w:t xml:space="preserve">A cada producto de la canasta se le</w:t>
      </w:r>
      <w:r>
        <w:t xml:space="preserve"> </w:t>
      </w:r>
      <w:r>
        <w:t xml:space="preserve">asigna un peso o ponderación que refleja su importancia en el gasto</w:t>
      </w:r>
      <w:r>
        <w:t xml:space="preserve"> </w:t>
      </w:r>
      <w:r>
        <w:t xml:space="preserve">total de los hogares. Los productos con mayor ponderación tienen un</w:t>
      </w:r>
      <w:r>
        <w:t xml:space="preserve"> </w:t>
      </w:r>
      <w:r>
        <w:t xml:space="preserve">mayor impacto en el IPC.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Recolección de precios:</w:t>
      </w:r>
      <w:r>
        <w:t xml:space="preserve"> </w:t>
      </w:r>
      <w:r>
        <w:t xml:space="preserve">Se recopilan los precios de los</w:t>
      </w:r>
      <w:r>
        <w:t xml:space="preserve"> </w:t>
      </w:r>
      <w:r>
        <w:t xml:space="preserve">productos de la canasta en una muestra de establecimientos</w:t>
      </w:r>
      <w:r>
        <w:t xml:space="preserve"> </w:t>
      </w:r>
      <w:r>
        <w:t xml:space="preserve">comerciales de Lima Metropolitana. Esta recolección se realiza de</w:t>
      </w:r>
      <w:r>
        <w:t xml:space="preserve"> </w:t>
      </w:r>
      <w:r>
        <w:t xml:space="preserve">manera regular, generalmente semanal o mensual.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Cálculo del índice:</w:t>
      </w:r>
      <w:r>
        <w:t xml:space="preserve"> </w:t>
      </w:r>
      <w:r>
        <w:t xml:space="preserve">Se calcula el índice para cada producto y</w:t>
      </w:r>
      <w:r>
        <w:t xml:space="preserve"> </w:t>
      </w:r>
      <w:r>
        <w:t xml:space="preserve">para el conjunto de la canasta, utilizando una fórmula que considera</w:t>
      </w:r>
      <w:r>
        <w:t xml:space="preserve"> </w:t>
      </w:r>
      <w:r>
        <w:t xml:space="preserve">la variación de los precios y las ponderaciones de cada producto. El</w:t>
      </w:r>
      <w:r>
        <w:t xml:space="preserve"> </w:t>
      </w:r>
      <w:r>
        <w:t xml:space="preserve">IPC se publica mensualmente y anualmente.</w:t>
      </w:r>
    </w:p>
    <w:bookmarkEnd w:id="61"/>
    <w:bookmarkEnd w:id="62"/>
    <w:bookmarkEnd w:id="63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EL COMPORTAMIENTO DE LA INFLACIÓN EN EL PERÚ</dc:description>
  <dc:language>es</dc:language>
  <cp:keywords>Inflación, Hiperinflación, Política Monetaria, Estabilidad de Precios</cp:keywords>
  <dcterms:created xsi:type="dcterms:W3CDTF">2026-01-17T17:21:52Z</dcterms:created>
  <dcterms:modified xsi:type="dcterms:W3CDTF">2026-01-17T17:21:52Z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paabstract">
    <vt:lpwstr>La presente monografía analiza la evolución del fenómeno inflacionario en el Perú durante el período 1980-2017. Se adopta un enfoque de compilación académica, sintetizando información histórica, estadística y teórica para comprender las causas, consecuencias y dinámica de la inflación en un contexto económico caracterizado por episodios extremos, como la hiperinflación de finales de los ochenta, y una posterior estabilización y mantenimiento de tasas bajas. El estudio se estructura en tres partes fundamentales: (1) una discusión teórica sobre los conceptos, tipos y causas de la inflación; (2) un análisis estadístico y narrativo pormenorizado de la tasa de inflación anual, identificando los factores clave—tanto de política interna como shocks externos—que explicaron su comportamiento en cada subperíodo; y (3) una reflexión sobre las implicancias de esta trayectoria para la economía peruana. Los datos primarios provienen de las memorias anuales del Banco Central de Reserva del Perú (BCRP) y del Instituto Nacional de Estadística e Informática (INEI). La principal conclusión es que el Perú transitó desde una economía con profundos desequilibrios macroeconómicos e inflación galopante hacia un régimen de estabilidad de precios, resultado de la adopción de políticas fiscales y monetarias prudentes, enmarcadas en un esquema de metas explícitas de inflación, que ha permitido un crecimiento sostenido con baja inflación desde inicios del siglo XXI.</vt:lpwstr>
  </property>
  <property fmtid="{D5CDD505-2E9C-101B-9397-08002B2CF9AE}" pid="6" name="apaauthor">
    <vt:lpwstr/>
  </property>
  <property fmtid="{D5CDD505-2E9C-101B-9397-08002B2CF9AE}" pid="7" name="apadate">
    <vt:lpwstr>2017-05-11</vt:lpwstr>
  </property>
  <property fmtid="{D5CDD505-2E9C-101B-9397-08002B2CF9AE}" pid="8" name="apasubtitle">
    <vt:lpwstr>Un Análisis del Período 1980-2017</vt:lpwstr>
  </property>
  <property fmtid="{D5CDD505-2E9C-101B-9397-08002B2CF9AE}" pid="9" name="apatitle">
    <vt:lpwstr>EL COMPORTAMIENTO DE LA INFLACIÓN EN EL PERÚ</vt:lpwstr>
  </property>
  <property fmtid="{D5CDD505-2E9C-101B-9397-08002B2CF9AE}" pid="10" name="apatitledisplay">
    <vt:lpwstr>El Comportamiento de la Inflación en el Perú: Un Análisis del Período 1980-2017</vt:lpwstr>
  </property>
  <property fmtid="{D5CDD505-2E9C-101B-9397-08002B2CF9AE}" pid="11" name="appendix-cite-as">
    <vt:lpwstr>display</vt:lpwstr>
  </property>
  <property fmtid="{D5CDD505-2E9C-101B-9397-08002B2CF9AE}" pid="12" name="author-note">
    <vt:lpwstr/>
  </property>
  <property fmtid="{D5CDD505-2E9C-101B-9397-08002B2CF9AE}" pid="13" name="authors">
    <vt:lpwstr/>
  </property>
  <property fmtid="{D5CDD505-2E9C-101B-9397-08002B2CF9AE}" pid="14" name="biblio-config">
    <vt:lpwstr>True</vt:lpwstr>
  </property>
  <property fmtid="{D5CDD505-2E9C-101B-9397-08002B2CF9AE}" pid="15" name="by-affiliation">
    <vt:lpwstr/>
  </property>
  <property fmtid="{D5CDD505-2E9C-101B-9397-08002B2CF9AE}" pid="16" name="by-author">
    <vt:lpwstr/>
  </property>
  <property fmtid="{D5CDD505-2E9C-101B-9397-08002B2CF9AE}" pid="17" name="cap-location">
    <vt:lpwstr>top</vt:lpwstr>
  </property>
  <property fmtid="{D5CDD505-2E9C-101B-9397-08002B2CF9AE}" pid="18" name="categories">
    <vt:lpwstr/>
  </property>
  <property fmtid="{D5CDD505-2E9C-101B-9397-08002B2CF9AE}" pid="19" name="citation">
    <vt:lpwstr/>
  </property>
  <property fmtid="{D5CDD505-2E9C-101B-9397-08002B2CF9AE}" pid="20" name="citation-last-author-separator">
    <vt:lpwstr>y</vt:lpwstr>
  </property>
  <property fmtid="{D5CDD505-2E9C-101B-9397-08002B2CF9AE}" pid="21" name="citation-location">
    <vt:lpwstr>document</vt:lpwstr>
  </property>
  <property fmtid="{D5CDD505-2E9C-101B-9397-08002B2CF9AE}" pid="22" name="citation-masked-author">
    <vt:lpwstr>Cita Enmascarada</vt:lpwstr>
  </property>
  <property fmtid="{D5CDD505-2E9C-101B-9397-08002B2CF9AE}" pid="23" name="citation-masked-date">
    <vt:lpwstr>n.f.</vt:lpwstr>
  </property>
  <property fmtid="{D5CDD505-2E9C-101B-9397-08002B2CF9AE}" pid="24" name="citation-masked-title">
    <vt:lpwstr>Título Enmascarado</vt:lpwstr>
  </property>
  <property fmtid="{D5CDD505-2E9C-101B-9397-08002B2CF9AE}" pid="25" name="comments">
    <vt:lpwstr/>
  </property>
  <property fmtid="{D5CDD505-2E9C-101B-9397-08002B2CF9AE}" pid="26" name="copyrightext">
    <vt:lpwstr>All rights reserved</vt:lpwstr>
  </property>
  <property fmtid="{D5CDD505-2E9C-101B-9397-08002B2CF9AE}" pid="27" name="copyrightnotice">
    <vt:lpwstr>2017</vt:lpwstr>
  </property>
  <property fmtid="{D5CDD505-2E9C-101B-9397-08002B2CF9AE}" pid="28" name="course">
    <vt:lpwstr>Teoría y política monetaria</vt:lpwstr>
  </property>
  <property fmtid="{D5CDD505-2E9C-101B-9397-08002B2CF9AE}" pid="29" name="crossref">
    <vt:lpwstr/>
  </property>
  <property fmtid="{D5CDD505-2E9C-101B-9397-08002B2CF9AE}" pid="30" name="csl">
    <vt:lpwstr>../../_extensions/wjschne/apaquarto/apa.csl</vt:lpwstr>
  </property>
  <property fmtid="{D5CDD505-2E9C-101B-9397-08002B2CF9AE}" pid="31" name="date-modified">
    <vt:lpwstr>2026-01-17</vt:lpwstr>
  </property>
  <property fmtid="{D5CDD505-2E9C-101B-9397-08002B2CF9AE}" pid="32" name="documentmode">
    <vt:lpwstr>stu</vt:lpwstr>
  </property>
  <property fmtid="{D5CDD505-2E9C-101B-9397-08002B2CF9AE}" pid="33" name="draft">
    <vt:lpwstr>False</vt:lpwstr>
  </property>
  <property fmtid="{D5CDD505-2E9C-101B-9397-08002B2CF9AE}" pid="34" name="draftall">
    <vt:lpwstr>False</vt:lpwstr>
  </property>
  <property fmtid="{D5CDD505-2E9C-101B-9397-08002B2CF9AE}" pid="35" name="draftfirst">
    <vt:lpwstr>False</vt:lpwstr>
  </property>
  <property fmtid="{D5CDD505-2E9C-101B-9397-08002B2CF9AE}" pid="36" name="duedate">
    <vt:lpwstr>05/11/2017</vt:lpwstr>
  </property>
  <property fmtid="{D5CDD505-2E9C-101B-9397-08002B2CF9AE}" pid="37" name="editor">
    <vt:lpwstr/>
  </property>
  <property fmtid="{D5CDD505-2E9C-101B-9397-08002B2CF9AE}" pid="38" name="fig-cap-location">
    <vt:lpwstr>top</vt:lpwstr>
  </property>
  <property fmtid="{D5CDD505-2E9C-101B-9397-08002B2CF9AE}" pid="39" name="floatsintext">
    <vt:lpwstr>True</vt:lpwstr>
  </property>
  <property fmtid="{D5CDD505-2E9C-101B-9397-08002B2CF9AE}" pid="40" name="fontsize">
    <vt:lpwstr>12pt</vt:lpwstr>
  </property>
  <property fmtid="{D5CDD505-2E9C-101B-9397-08002B2CF9AE}" pid="41" name="google-scholar">
    <vt:lpwstr>True</vt:lpwstr>
  </property>
  <property fmtid="{D5CDD505-2E9C-101B-9397-08002B2CF9AE}" pid="42" name="header-includes">
    <vt:lpwstr/>
  </property>
  <property fmtid="{D5CDD505-2E9C-101B-9397-08002B2CF9AE}" pid="43" name="image">
    <vt:lpwstr>../featured.jpg</vt:lpwstr>
  </property>
  <property fmtid="{D5CDD505-2E9C-101B-9397-08002B2CF9AE}" pid="44" name="include-after">
    <vt:lpwstr/>
  </property>
  <property fmtid="{D5CDD505-2E9C-101B-9397-08002B2CF9AE}" pid="45" name="include-before">
    <vt:lpwstr/>
  </property>
  <property fmtid="{D5CDD505-2E9C-101B-9397-08002B2CF9AE}" pid="46" name="is-particlejs-enabled">
    <vt:lpwstr>True</vt:lpwstr>
  </property>
  <property fmtid="{D5CDD505-2E9C-101B-9397-08002B2CF9AE}" pid="47" name="jupyter">
    <vt:lpwstr>python3</vt:lpwstr>
  </property>
  <property fmtid="{D5CDD505-2E9C-101B-9397-08002B2CF9AE}" pid="48" name="knitr">
    <vt:lpwstr/>
  </property>
  <property fmtid="{D5CDD505-2E9C-101B-9397-08002B2CF9AE}" pid="49" name="labels">
    <vt:lpwstr/>
  </property>
  <property fmtid="{D5CDD505-2E9C-101B-9397-08002B2CF9AE}" pid="50" name="language">
    <vt:lpwstr/>
  </property>
  <property fmtid="{D5CDD505-2E9C-101B-9397-08002B2CF9AE}" pid="51" name="license">
    <vt:lpwstr/>
  </property>
  <property fmtid="{D5CDD505-2E9C-101B-9397-08002B2CF9AE}" pid="52" name="lightbox">
    <vt:lpwstr>True</vt:lpwstr>
  </property>
  <property fmtid="{D5CDD505-2E9C-101B-9397-08002B2CF9AE}" pid="53" name="link-citations">
    <vt:lpwstr>True</vt:lpwstr>
  </property>
  <property fmtid="{D5CDD505-2E9C-101B-9397-08002B2CF9AE}" pid="54" name="mask">
    <vt:lpwstr>False</vt:lpwstr>
  </property>
  <property fmtid="{D5CDD505-2E9C-101B-9397-08002B2CF9AE}" pid="55" name="no-ampersand-parenthetical">
    <vt:lpwstr>False</vt:lpwstr>
  </property>
  <property fmtid="{D5CDD505-2E9C-101B-9397-08002B2CF9AE}" pid="56" name="number-depth">
    <vt:lpwstr>3</vt:lpwstr>
  </property>
  <property fmtid="{D5CDD505-2E9C-101B-9397-08002B2CF9AE}" pid="57" name="numbered-lines">
    <vt:lpwstr>False</vt:lpwstr>
  </property>
  <property fmtid="{D5CDD505-2E9C-101B-9397-08002B2CF9AE}" pid="58" name="numbersections">
    <vt:lpwstr>True</vt:lpwstr>
  </property>
  <property fmtid="{D5CDD505-2E9C-101B-9397-08002B2CF9AE}" pid="59" name="oneaffiliation">
    <vt:lpwstr>True</vt:lpwstr>
  </property>
  <property fmtid="{D5CDD505-2E9C-101B-9397-08002B2CF9AE}" pid="60" name="oneauthor">
    <vt:lpwstr>True</vt:lpwstr>
  </property>
  <property fmtid="{D5CDD505-2E9C-101B-9397-08002B2CF9AE}" pid="61" name="professor">
    <vt:lpwstr>Efrain Castillo Quintero</vt:lpwstr>
  </property>
  <property fmtid="{D5CDD505-2E9C-101B-9397-08002B2CF9AE}" pid="62" name="references">
    <vt:lpwstr/>
  </property>
  <property fmtid="{D5CDD505-2E9C-101B-9397-08002B2CF9AE}" pid="63" name="references-meta-analysis">
    <vt:lpwstr>Las referencias marcadas con un asterisco indican estudios incluidos en el metanálisis.</vt:lpwstr>
  </property>
  <property fmtid="{D5CDD505-2E9C-101B-9397-08002B2CF9AE}" pid="64" name="revealjs-plugins">
    <vt:lpwstr/>
  </property>
  <property fmtid="{D5CDD505-2E9C-101B-9397-08002B2CF9AE}" pid="65" name="search">
    <vt:lpwstr>True</vt:lpwstr>
  </property>
  <property fmtid="{D5CDD505-2E9C-101B-9397-08002B2CF9AE}" pid="66" name="suppress-abstract">
    <vt:lpwstr>False</vt:lpwstr>
  </property>
  <property fmtid="{D5CDD505-2E9C-101B-9397-08002B2CF9AE}" pid="67" name="suppress-affiliation">
    <vt:lpwstr>False</vt:lpwstr>
  </property>
  <property fmtid="{D5CDD505-2E9C-101B-9397-08002B2CF9AE}" pid="68" name="suppress-author">
    <vt:lpwstr>False</vt:lpwstr>
  </property>
  <property fmtid="{D5CDD505-2E9C-101B-9397-08002B2CF9AE}" pid="69" name="suppress-author-note">
    <vt:lpwstr>False</vt:lpwstr>
  </property>
  <property fmtid="{D5CDD505-2E9C-101B-9397-08002B2CF9AE}" pid="70" name="suppress-corresponding-address">
    <vt:lpwstr>False</vt:lpwstr>
  </property>
  <property fmtid="{D5CDD505-2E9C-101B-9397-08002B2CF9AE}" pid="71" name="suppress-corresponding-affiliation-name">
    <vt:lpwstr>False</vt:lpwstr>
  </property>
  <property fmtid="{D5CDD505-2E9C-101B-9397-08002B2CF9AE}" pid="72" name="suppress-corresponding-city">
    <vt:lpwstr>False</vt:lpwstr>
  </property>
  <property fmtid="{D5CDD505-2E9C-101B-9397-08002B2CF9AE}" pid="73" name="suppress-corresponding-department">
    <vt:lpwstr>False</vt:lpwstr>
  </property>
  <property fmtid="{D5CDD505-2E9C-101B-9397-08002B2CF9AE}" pid="74" name="suppress-corresponding-email">
    <vt:lpwstr>False</vt:lpwstr>
  </property>
  <property fmtid="{D5CDD505-2E9C-101B-9397-08002B2CF9AE}" pid="75" name="suppress-corresponding-group">
    <vt:lpwstr>False</vt:lpwstr>
  </property>
  <property fmtid="{D5CDD505-2E9C-101B-9397-08002B2CF9AE}" pid="76" name="suppress-corresponding-paragraph">
    <vt:lpwstr>False</vt:lpwstr>
  </property>
  <property fmtid="{D5CDD505-2E9C-101B-9397-08002B2CF9AE}" pid="77" name="suppress-corresponding-postal-code">
    <vt:lpwstr>False</vt:lpwstr>
  </property>
  <property fmtid="{D5CDD505-2E9C-101B-9397-08002B2CF9AE}" pid="78" name="suppress-corresponding-region">
    <vt:lpwstr>False</vt:lpwstr>
  </property>
  <property fmtid="{D5CDD505-2E9C-101B-9397-08002B2CF9AE}" pid="79" name="suppress-credit-statement">
    <vt:lpwstr>False</vt:lpwstr>
  </property>
  <property fmtid="{D5CDD505-2E9C-101B-9397-08002B2CF9AE}" pid="80" name="suppress-disclosures-paragraph">
    <vt:lpwstr>False</vt:lpwstr>
  </property>
  <property fmtid="{D5CDD505-2E9C-101B-9397-08002B2CF9AE}" pid="81" name="suppress-impact-statement">
    <vt:lpwstr>False</vt:lpwstr>
  </property>
  <property fmtid="{D5CDD505-2E9C-101B-9397-08002B2CF9AE}" pid="82" name="suppress-keywords">
    <vt:lpwstr>False</vt:lpwstr>
  </property>
  <property fmtid="{D5CDD505-2E9C-101B-9397-08002B2CF9AE}" pid="83" name="suppress-orcid">
    <vt:lpwstr>False</vt:lpwstr>
  </property>
  <property fmtid="{D5CDD505-2E9C-101B-9397-08002B2CF9AE}" pid="84" name="suppress-short-title">
    <vt:lpwstr>False</vt:lpwstr>
  </property>
  <property fmtid="{D5CDD505-2E9C-101B-9397-08002B2CF9AE}" pid="85" name="suppress-status-change-paragraph">
    <vt:lpwstr>False</vt:lpwstr>
  </property>
  <property fmtid="{D5CDD505-2E9C-101B-9397-08002B2CF9AE}" pid="86" name="suppress-title">
    <vt:lpwstr>False</vt:lpwstr>
  </property>
  <property fmtid="{D5CDD505-2E9C-101B-9397-08002B2CF9AE}" pid="87" name="suppress-title-introduction">
    <vt:lpwstr>False</vt:lpwstr>
  </property>
  <property fmtid="{D5CDD505-2E9C-101B-9397-08002B2CF9AE}" pid="88" name="suppress-title-page">
    <vt:lpwstr>False</vt:lpwstr>
  </property>
  <property fmtid="{D5CDD505-2E9C-101B-9397-08002B2CF9AE}" pid="89" name="suppress-title-page-number">
    <vt:lpwstr>False</vt:lpwstr>
  </property>
  <property fmtid="{D5CDD505-2E9C-101B-9397-08002B2CF9AE}" pid="90" name="tags">
    <vt:lpwstr/>
  </property>
  <property fmtid="{D5CDD505-2E9C-101B-9397-08002B2CF9AE}" pid="91" name="tbl-cap-location">
    <vt:lpwstr>top</vt:lpwstr>
  </property>
  <property fmtid="{D5CDD505-2E9C-101B-9397-08002B2CF9AE}" pid="92" name="title-block-author-note">
    <vt:lpwstr>Nota de Autores</vt:lpwstr>
  </property>
  <property fmtid="{D5CDD505-2E9C-101B-9397-08002B2CF9AE}" pid="93" name="title-block-banner">
    <vt:lpwstr>True</vt:lpwstr>
  </property>
  <property fmtid="{D5CDD505-2E9C-101B-9397-08002B2CF9AE}" pid="94" name="title-block-correspondence-note">
    <vt:lpwstr>La correspondencia relativa a este artículo debe dirigirse a</vt:lpwstr>
  </property>
  <property fmtid="{D5CDD505-2E9C-101B-9397-08002B2CF9AE}" pid="95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6" name="toc-expand">
    <vt:lpwstr>2</vt:lpwstr>
  </property>
  <property fmtid="{D5CDD505-2E9C-101B-9397-08002B2CF9AE}" pid="97" name="toc-float">
    <vt:lpwstr>True</vt:lpwstr>
  </property>
  <property fmtid="{D5CDD505-2E9C-101B-9397-08002B2CF9AE}" pid="98" name="toc-location">
    <vt:lpwstr>left</vt:lpwstr>
  </property>
  <property fmtid="{D5CDD505-2E9C-101B-9397-08002B2CF9AE}" pid="99" name="toc-title">
    <vt:lpwstr/>
  </property>
  <property fmtid="{D5CDD505-2E9C-101B-9397-08002B2CF9AE}" pid="100" name="wordn">
    <vt:lpwstr>5819</vt:lpwstr>
  </property>
  <property fmtid="{D5CDD505-2E9C-101B-9397-08002B2CF9AE}" pid="101" name="zerocitations">
    <vt:lpwstr>True</vt:lpwstr>
  </property>
</Properties>
</file>